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2BC6" w14:textId="66980945" w:rsidR="000D5975" w:rsidRDefault="000D5975"/>
    <w:p w14:paraId="71A87AB3" w14:textId="77777777" w:rsidR="000D5975" w:rsidRDefault="000D597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5926B4" w14:paraId="0CAE5925" w14:textId="77777777" w:rsidTr="008E66FA">
        <w:trPr>
          <w:gridAfter w:val="1"/>
          <w:wAfter w:w="2835" w:type="dxa"/>
          <w:cantSplit/>
          <w:trHeight w:val="569"/>
        </w:trPr>
        <w:tc>
          <w:tcPr>
            <w:tcW w:w="4786" w:type="dxa"/>
            <w:shd w:val="clear" w:color="auto" w:fill="BFBFBF"/>
            <w:vAlign w:val="center"/>
          </w:tcPr>
          <w:p w14:paraId="0CAE5923" w14:textId="77777777" w:rsidR="00D4431F" w:rsidRPr="00D4431F" w:rsidRDefault="0035516E" w:rsidP="006149F1">
            <w:pPr>
              <w:jc w:val="center"/>
              <w:rPr>
                <w:rFonts w:cstheme="minorHAnsi"/>
                <w:b/>
                <w:bCs/>
              </w:rPr>
            </w:pPr>
            <w:r>
              <w:rPr>
                <w:rFonts w:cstheme="minorHAnsi"/>
                <w:b/>
                <w:bCs/>
              </w:rPr>
              <w:t>Report to</w:t>
            </w:r>
          </w:p>
        </w:tc>
        <w:tc>
          <w:tcPr>
            <w:tcW w:w="2268" w:type="dxa"/>
            <w:gridSpan w:val="2"/>
            <w:shd w:val="clear" w:color="auto" w:fill="BFBFBF"/>
            <w:vAlign w:val="center"/>
          </w:tcPr>
          <w:p w14:paraId="0CAE5924" w14:textId="77777777" w:rsidR="00D4431F" w:rsidRPr="00D4431F" w:rsidRDefault="0035516E" w:rsidP="006149F1">
            <w:pPr>
              <w:jc w:val="center"/>
              <w:rPr>
                <w:rFonts w:cstheme="minorHAnsi"/>
                <w:b/>
                <w:bCs/>
              </w:rPr>
            </w:pPr>
            <w:r w:rsidRPr="00D4431F">
              <w:rPr>
                <w:rFonts w:cstheme="minorHAnsi"/>
                <w:b/>
                <w:bCs/>
              </w:rPr>
              <w:t>O</w:t>
            </w:r>
            <w:r>
              <w:rPr>
                <w:rFonts w:cstheme="minorHAnsi"/>
                <w:b/>
                <w:bCs/>
              </w:rPr>
              <w:t>n</w:t>
            </w:r>
          </w:p>
        </w:tc>
      </w:tr>
      <w:tr w:rsidR="005926B4" w14:paraId="0CAE5928" w14:textId="77777777" w:rsidTr="008E66FA">
        <w:trPr>
          <w:gridAfter w:val="1"/>
          <w:wAfter w:w="2835" w:type="dxa"/>
          <w:cantSplit/>
          <w:trHeight w:val="654"/>
        </w:trPr>
        <w:tc>
          <w:tcPr>
            <w:tcW w:w="4786" w:type="dxa"/>
            <w:tcBorders>
              <w:bottom w:val="nil"/>
            </w:tcBorders>
            <w:vAlign w:val="center"/>
          </w:tcPr>
          <w:p w14:paraId="0CAE5926" w14:textId="77777777" w:rsidR="00D4431F" w:rsidRPr="00D4431F" w:rsidRDefault="0035516E" w:rsidP="006149F1">
            <w:pPr>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gridSpan w:val="2"/>
            <w:tcBorders>
              <w:bottom w:val="nil"/>
            </w:tcBorders>
            <w:vAlign w:val="center"/>
          </w:tcPr>
          <w:p w14:paraId="0CAE5927" w14:textId="77777777" w:rsidR="00D4431F" w:rsidRPr="00D4431F" w:rsidRDefault="0035516E" w:rsidP="006149F1">
            <w:pPr>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25 May 2021</w:t>
            </w:r>
            <w:r>
              <w:rPr>
                <w:rFonts w:cstheme="minorHAnsi"/>
                <w:b/>
                <w:bCs/>
              </w:rPr>
              <w:fldChar w:fldCharType="end"/>
            </w:r>
          </w:p>
        </w:tc>
      </w:tr>
      <w:tr w:rsidR="005926B4" w14:paraId="0CAE592A" w14:textId="77777777" w:rsidTr="008E66FA">
        <w:trPr>
          <w:gridAfter w:val="1"/>
          <w:wAfter w:w="2835" w:type="dxa"/>
          <w:cantSplit/>
          <w:trHeight w:val="560"/>
        </w:trPr>
        <w:tc>
          <w:tcPr>
            <w:tcW w:w="7054" w:type="dxa"/>
            <w:gridSpan w:val="3"/>
            <w:tcBorders>
              <w:left w:val="nil"/>
              <w:right w:val="nil"/>
            </w:tcBorders>
          </w:tcPr>
          <w:p w14:paraId="0CAE5929" w14:textId="77777777" w:rsidR="00D4431F" w:rsidRPr="00D4431F" w:rsidRDefault="00572AFC" w:rsidP="00D4431F">
            <w:pPr>
              <w:jc w:val="both"/>
              <w:rPr>
                <w:rFonts w:cstheme="minorHAnsi"/>
                <w:b/>
                <w:bCs/>
              </w:rPr>
            </w:pPr>
          </w:p>
        </w:tc>
      </w:tr>
      <w:tr w:rsidR="005926B4" w14:paraId="0CAE592D" w14:textId="77777777" w:rsidTr="001B5749">
        <w:trPr>
          <w:cantSplit/>
        </w:trPr>
        <w:tc>
          <w:tcPr>
            <w:tcW w:w="6912" w:type="dxa"/>
            <w:gridSpan w:val="2"/>
            <w:shd w:val="clear" w:color="auto" w:fill="BFBFBF"/>
            <w:vAlign w:val="center"/>
          </w:tcPr>
          <w:p w14:paraId="0CAE592B" w14:textId="77777777" w:rsidR="00D4431F" w:rsidRPr="00D4431F" w:rsidRDefault="0035516E" w:rsidP="00D4431F">
            <w:pPr>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14:paraId="0CAE592C" w14:textId="77777777" w:rsidR="00D4431F" w:rsidRPr="00D4431F" w:rsidRDefault="0035516E" w:rsidP="001B5749">
            <w:pPr>
              <w:jc w:val="center"/>
              <w:rPr>
                <w:rFonts w:cstheme="minorHAnsi"/>
                <w:b/>
                <w:bCs/>
              </w:rPr>
            </w:pPr>
            <w:r>
              <w:rPr>
                <w:rFonts w:cstheme="minorHAnsi"/>
                <w:b/>
                <w:bCs/>
              </w:rPr>
              <w:t>Report of</w:t>
            </w:r>
          </w:p>
        </w:tc>
      </w:tr>
      <w:tr w:rsidR="005926B4" w14:paraId="0CAE5930" w14:textId="77777777" w:rsidTr="001B5749">
        <w:trPr>
          <w:cantSplit/>
          <w:trHeight w:val="667"/>
        </w:trPr>
        <w:tc>
          <w:tcPr>
            <w:tcW w:w="6912" w:type="dxa"/>
            <w:gridSpan w:val="2"/>
            <w:vAlign w:val="center"/>
          </w:tcPr>
          <w:p w14:paraId="0CAE592E" w14:textId="77777777" w:rsidR="00D4431F" w:rsidRPr="00CA04F3" w:rsidRDefault="0035516E" w:rsidP="00CA04F3">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Internal Audit Annual Report</w:t>
            </w:r>
            <w:r>
              <w:rPr>
                <w:rFonts w:asciiTheme="majorHAnsi" w:hAnsiTheme="majorHAnsi" w:cstheme="majorHAnsi"/>
                <w:sz w:val="22"/>
              </w:rPr>
              <w:fldChar w:fldCharType="end"/>
            </w:r>
          </w:p>
        </w:tc>
        <w:tc>
          <w:tcPr>
            <w:tcW w:w="2977" w:type="dxa"/>
            <w:gridSpan w:val="2"/>
            <w:vAlign w:val="center"/>
          </w:tcPr>
          <w:p w14:paraId="0CAE592F" w14:textId="77777777" w:rsidR="00D4431F" w:rsidRPr="00D4431F" w:rsidRDefault="0035516E" w:rsidP="001B5749">
            <w:pPr>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14:paraId="0CAE5931" w14:textId="77777777" w:rsidR="00D4431F" w:rsidRPr="00D4431F" w:rsidRDefault="00572AFC" w:rsidP="00D4431F">
      <w:pPr>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5926B4" w14:paraId="0CAE5937" w14:textId="77777777" w:rsidTr="008E66FA">
        <w:tc>
          <w:tcPr>
            <w:tcW w:w="6652" w:type="dxa"/>
            <w:shd w:val="clear" w:color="auto" w:fill="auto"/>
          </w:tcPr>
          <w:p w14:paraId="0CAE5932" w14:textId="77777777" w:rsidR="00D4431F" w:rsidRPr="00D63CD4" w:rsidRDefault="0035516E" w:rsidP="005C459D">
            <w:pPr>
              <w:jc w:val="both"/>
              <w:rPr>
                <w:rFonts w:cstheme="minorHAnsi"/>
                <w:bCs/>
                <w:sz w:val="22"/>
                <w:szCs w:val="22"/>
              </w:rPr>
            </w:pPr>
            <w:r w:rsidRPr="00D63CD4">
              <w:rPr>
                <w:rFonts w:cstheme="minorHAnsi"/>
                <w:bCs/>
                <w:sz w:val="22"/>
                <w:szCs w:val="22"/>
              </w:rPr>
              <w:t>Is this report confidential?</w:t>
            </w:r>
          </w:p>
        </w:tc>
        <w:tc>
          <w:tcPr>
            <w:tcW w:w="3266" w:type="dxa"/>
            <w:shd w:val="clear" w:color="auto" w:fill="auto"/>
          </w:tcPr>
          <w:p w14:paraId="0CAE5935" w14:textId="77777777" w:rsidR="00D4431F" w:rsidRPr="00D63CD4" w:rsidRDefault="0035516E" w:rsidP="005C459D">
            <w:pPr>
              <w:jc w:val="both"/>
              <w:rPr>
                <w:rFonts w:cstheme="minorHAnsi"/>
                <w:bCs/>
                <w:sz w:val="22"/>
                <w:szCs w:val="22"/>
              </w:rPr>
            </w:pPr>
            <w:r w:rsidRPr="00D63CD4">
              <w:rPr>
                <w:rFonts w:cstheme="minorHAnsi"/>
                <w:bCs/>
                <w:sz w:val="22"/>
                <w:szCs w:val="22"/>
              </w:rPr>
              <w:t xml:space="preserve">No </w:t>
            </w:r>
          </w:p>
          <w:p w14:paraId="0CAE5936" w14:textId="748224CF" w:rsidR="00D4431F" w:rsidRPr="00D4431F" w:rsidRDefault="00572AFC" w:rsidP="005C459D">
            <w:pPr>
              <w:jc w:val="both"/>
              <w:rPr>
                <w:rFonts w:cstheme="minorHAnsi"/>
                <w:bCs/>
                <w:i/>
              </w:rPr>
            </w:pPr>
          </w:p>
        </w:tc>
      </w:tr>
    </w:tbl>
    <w:p w14:paraId="0CAE5938" w14:textId="77777777" w:rsidR="00D4431F" w:rsidRPr="00D4431F" w:rsidRDefault="00572AFC" w:rsidP="00D4431F">
      <w:pPr>
        <w:jc w:val="both"/>
        <w:rPr>
          <w:rFonts w:cstheme="minorHAnsi"/>
          <w:b/>
          <w:bCs/>
        </w:rPr>
      </w:pPr>
    </w:p>
    <w:p w14:paraId="0CAE593A" w14:textId="77777777" w:rsidR="00D4431F" w:rsidRPr="00CA04F3" w:rsidRDefault="0035516E"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0CAE593B" w14:textId="5E8D431C" w:rsidR="006149F1" w:rsidRPr="00ED7507" w:rsidRDefault="003A208B" w:rsidP="006149F1">
      <w:pPr>
        <w:numPr>
          <w:ilvl w:val="0"/>
          <w:numId w:val="8"/>
        </w:numPr>
        <w:jc w:val="both"/>
        <w:rPr>
          <w:rFonts w:cstheme="minorHAnsi"/>
          <w:bCs/>
          <w:i/>
        </w:rPr>
      </w:pPr>
      <w:r w:rsidRPr="003A208B">
        <w:rPr>
          <w:rFonts w:cstheme="minorHAnsi"/>
          <w:bCs/>
          <w:iCs/>
        </w:rPr>
        <w:t>T</w:t>
      </w:r>
      <w:r w:rsidR="001B47BD" w:rsidRPr="003A208B">
        <w:rPr>
          <w:rFonts w:cstheme="minorHAnsi"/>
          <w:bCs/>
          <w:iCs/>
          <w:sz w:val="22"/>
          <w:szCs w:val="22"/>
        </w:rPr>
        <w:t>he purpose of this report is to summarise the work undertaken by the Internal Audit Service during 2020/2021 and to give an opinion as required by the Public Sector Internal Audit Standards on the adequacy and effectiveness of the Council’s framework of governance, risk management and control</w:t>
      </w:r>
      <w:r w:rsidR="001B47BD">
        <w:rPr>
          <w:rFonts w:cstheme="minorHAnsi"/>
          <w:bCs/>
          <w:iCs/>
        </w:rPr>
        <w:t xml:space="preserve">. </w:t>
      </w:r>
    </w:p>
    <w:p w14:paraId="6C54640F" w14:textId="77777777" w:rsidR="00ED7507" w:rsidRPr="008103BA" w:rsidRDefault="00ED7507" w:rsidP="00ED7507">
      <w:pPr>
        <w:ind w:left="720"/>
        <w:jc w:val="both"/>
        <w:rPr>
          <w:rFonts w:cstheme="minorHAnsi"/>
          <w:bCs/>
          <w:i/>
        </w:rPr>
      </w:pPr>
    </w:p>
    <w:p w14:paraId="005A0167" w14:textId="4C6E8E68" w:rsidR="008103BA" w:rsidRPr="008103BA" w:rsidRDefault="008103BA" w:rsidP="006149F1">
      <w:pPr>
        <w:numPr>
          <w:ilvl w:val="0"/>
          <w:numId w:val="8"/>
        </w:numPr>
        <w:jc w:val="both"/>
        <w:rPr>
          <w:rFonts w:cstheme="minorHAnsi"/>
          <w:bCs/>
          <w:i/>
          <w:sz w:val="22"/>
          <w:szCs w:val="22"/>
        </w:rPr>
      </w:pPr>
      <w:r w:rsidRPr="008103BA">
        <w:rPr>
          <w:rFonts w:cstheme="minorHAnsi"/>
          <w:bCs/>
          <w:iCs/>
          <w:sz w:val="22"/>
          <w:szCs w:val="22"/>
        </w:rPr>
        <w:t>The report also includes the results of the Quality Assurance and Improvement Programme.</w:t>
      </w:r>
    </w:p>
    <w:p w14:paraId="0CAE593C" w14:textId="77777777" w:rsidR="006149F1" w:rsidRPr="00CA04F3" w:rsidRDefault="0035516E"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0CAE5941" w14:textId="6A06355F" w:rsidR="00D4431F" w:rsidRPr="003A208B" w:rsidRDefault="001B47BD" w:rsidP="00CA04F3">
      <w:pPr>
        <w:numPr>
          <w:ilvl w:val="0"/>
          <w:numId w:val="8"/>
        </w:numPr>
        <w:jc w:val="both"/>
        <w:rPr>
          <w:rFonts w:cstheme="minorHAnsi"/>
          <w:bCs/>
          <w:i/>
          <w:sz w:val="22"/>
          <w:szCs w:val="22"/>
        </w:rPr>
      </w:pPr>
      <w:r w:rsidRPr="003A208B">
        <w:rPr>
          <w:rFonts w:cstheme="minorHAnsi"/>
          <w:iCs/>
          <w:sz w:val="22"/>
          <w:szCs w:val="22"/>
        </w:rPr>
        <w:t>That the Committee note the contents of the report</w:t>
      </w:r>
      <w:r w:rsidR="0035516E" w:rsidRPr="003A208B">
        <w:rPr>
          <w:rFonts w:cstheme="minorHAnsi"/>
          <w:bCs/>
          <w:i/>
          <w:sz w:val="22"/>
          <w:szCs w:val="22"/>
        </w:rPr>
        <w:t xml:space="preserve">. </w:t>
      </w:r>
    </w:p>
    <w:p w14:paraId="0CAE5944" w14:textId="77777777" w:rsidR="00D4431F" w:rsidRPr="00CA04F3" w:rsidRDefault="0035516E"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0CAE5946" w14:textId="2471597D" w:rsidR="006149F1" w:rsidRPr="00D435E5" w:rsidRDefault="0035516E" w:rsidP="002612ED">
      <w:pPr>
        <w:numPr>
          <w:ilvl w:val="0"/>
          <w:numId w:val="8"/>
        </w:numPr>
        <w:jc w:val="both"/>
        <w:rPr>
          <w:rFonts w:cstheme="minorHAnsi"/>
          <w:bCs/>
          <w:i/>
          <w:sz w:val="22"/>
          <w:szCs w:val="22"/>
        </w:rPr>
      </w:pPr>
      <w:r w:rsidRPr="003A208B">
        <w:rPr>
          <w:rFonts w:cstheme="minorHAnsi"/>
          <w:bCs/>
        </w:rPr>
        <w:t xml:space="preserve"> </w:t>
      </w:r>
      <w:r w:rsidRPr="00D435E5">
        <w:rPr>
          <w:rFonts w:cstheme="minorHAnsi"/>
          <w:bCs/>
          <w:sz w:val="22"/>
          <w:szCs w:val="22"/>
        </w:rPr>
        <w:t xml:space="preserve">The report relates to the following corporate priorities: </w:t>
      </w:r>
    </w:p>
    <w:p w14:paraId="2B82E438" w14:textId="77777777" w:rsidR="003A208B" w:rsidRPr="003A208B" w:rsidRDefault="003A208B" w:rsidP="003A208B">
      <w:pPr>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5926B4" w14:paraId="0CAE594C" w14:textId="77777777" w:rsidTr="008E66FA">
        <w:tc>
          <w:tcPr>
            <w:tcW w:w="4423" w:type="dxa"/>
            <w:shd w:val="clear" w:color="auto" w:fill="auto"/>
          </w:tcPr>
          <w:p w14:paraId="0CAE5947" w14:textId="77777777" w:rsidR="00D4431F" w:rsidRPr="00D4431F" w:rsidRDefault="0035516E" w:rsidP="006149F1">
            <w:pPr>
              <w:jc w:val="both"/>
              <w:rPr>
                <w:rFonts w:cstheme="minorHAnsi"/>
                <w:bCs/>
              </w:rPr>
            </w:pPr>
            <w:r w:rsidRPr="00D4431F">
              <w:rPr>
                <w:rFonts w:cstheme="minorHAnsi"/>
                <w:bCs/>
              </w:rPr>
              <w:t>An exemplary council</w:t>
            </w:r>
          </w:p>
          <w:p w14:paraId="0CAE5948" w14:textId="77777777" w:rsidR="00D4431F" w:rsidRPr="00D4431F" w:rsidRDefault="00572AFC" w:rsidP="006149F1">
            <w:pPr>
              <w:jc w:val="both"/>
              <w:rPr>
                <w:rFonts w:cstheme="minorHAnsi"/>
                <w:bCs/>
              </w:rPr>
            </w:pPr>
          </w:p>
        </w:tc>
        <w:tc>
          <w:tcPr>
            <w:tcW w:w="850" w:type="dxa"/>
            <w:shd w:val="clear" w:color="auto" w:fill="auto"/>
          </w:tcPr>
          <w:p w14:paraId="0CAE5949" w14:textId="0B3A8031" w:rsidR="00D4431F" w:rsidRPr="00D4431F" w:rsidRDefault="001B47BD" w:rsidP="006149F1">
            <w:pPr>
              <w:jc w:val="both"/>
              <w:rPr>
                <w:rFonts w:cstheme="minorHAnsi"/>
                <w:bCs/>
              </w:rPr>
            </w:pPr>
            <w:r>
              <w:rPr>
                <w:rFonts w:cstheme="minorHAnsi"/>
                <w:bCs/>
              </w:rPr>
              <w:t>X</w:t>
            </w:r>
          </w:p>
        </w:tc>
        <w:tc>
          <w:tcPr>
            <w:tcW w:w="3402" w:type="dxa"/>
          </w:tcPr>
          <w:p w14:paraId="0CAE594A" w14:textId="77777777" w:rsidR="00D4431F" w:rsidRPr="00D4431F" w:rsidRDefault="0035516E" w:rsidP="006149F1">
            <w:pPr>
              <w:jc w:val="both"/>
              <w:rPr>
                <w:rFonts w:cstheme="minorHAnsi"/>
                <w:bCs/>
              </w:rPr>
            </w:pPr>
            <w:r w:rsidRPr="00D4431F">
              <w:rPr>
                <w:rFonts w:cstheme="minorHAnsi"/>
                <w:bCs/>
              </w:rPr>
              <w:t>Thriving communities</w:t>
            </w:r>
          </w:p>
        </w:tc>
        <w:tc>
          <w:tcPr>
            <w:tcW w:w="851" w:type="dxa"/>
          </w:tcPr>
          <w:p w14:paraId="0CAE594B" w14:textId="77777777" w:rsidR="00D4431F" w:rsidRPr="00D4431F" w:rsidRDefault="00572AFC" w:rsidP="006149F1">
            <w:pPr>
              <w:jc w:val="both"/>
              <w:rPr>
                <w:rFonts w:cstheme="minorHAnsi"/>
                <w:bCs/>
              </w:rPr>
            </w:pPr>
          </w:p>
        </w:tc>
      </w:tr>
      <w:tr w:rsidR="005926B4" w14:paraId="0CAE5951" w14:textId="77777777" w:rsidTr="008E66FA">
        <w:tc>
          <w:tcPr>
            <w:tcW w:w="4423" w:type="dxa"/>
            <w:shd w:val="clear" w:color="auto" w:fill="auto"/>
          </w:tcPr>
          <w:p w14:paraId="0CAE594D" w14:textId="77777777" w:rsidR="00D4431F" w:rsidRPr="00D4431F" w:rsidRDefault="0035516E" w:rsidP="006149F1">
            <w:pPr>
              <w:jc w:val="both"/>
              <w:rPr>
                <w:rFonts w:cstheme="minorHAnsi"/>
                <w:bCs/>
              </w:rPr>
            </w:pPr>
            <w:r w:rsidRPr="00D4431F">
              <w:rPr>
                <w:rFonts w:cstheme="minorHAnsi"/>
                <w:bCs/>
              </w:rPr>
              <w:t>A fair local economy that works for everyone</w:t>
            </w:r>
          </w:p>
        </w:tc>
        <w:tc>
          <w:tcPr>
            <w:tcW w:w="850" w:type="dxa"/>
            <w:shd w:val="clear" w:color="auto" w:fill="auto"/>
          </w:tcPr>
          <w:p w14:paraId="0CAE594E" w14:textId="77777777" w:rsidR="00D4431F" w:rsidRPr="00D4431F" w:rsidRDefault="00572AFC" w:rsidP="006149F1">
            <w:pPr>
              <w:jc w:val="both"/>
              <w:rPr>
                <w:rFonts w:cstheme="minorHAnsi"/>
                <w:bCs/>
              </w:rPr>
            </w:pPr>
          </w:p>
        </w:tc>
        <w:tc>
          <w:tcPr>
            <w:tcW w:w="3402" w:type="dxa"/>
          </w:tcPr>
          <w:p w14:paraId="0CAE594F" w14:textId="77777777" w:rsidR="00D4431F" w:rsidRPr="00D4431F" w:rsidRDefault="0035516E" w:rsidP="006149F1">
            <w:pPr>
              <w:jc w:val="both"/>
              <w:rPr>
                <w:rFonts w:cstheme="minorHAnsi"/>
                <w:bCs/>
              </w:rPr>
            </w:pPr>
            <w:r w:rsidRPr="00D4431F">
              <w:rPr>
                <w:rFonts w:cstheme="minorHAnsi"/>
                <w:bCs/>
              </w:rPr>
              <w:t>Good homes, green spaces, healthy places</w:t>
            </w:r>
          </w:p>
        </w:tc>
        <w:tc>
          <w:tcPr>
            <w:tcW w:w="851" w:type="dxa"/>
          </w:tcPr>
          <w:p w14:paraId="0CAE5950" w14:textId="77777777" w:rsidR="00D4431F" w:rsidRPr="00D4431F" w:rsidRDefault="00572AFC" w:rsidP="006149F1">
            <w:pPr>
              <w:jc w:val="both"/>
              <w:rPr>
                <w:rFonts w:cstheme="minorHAnsi"/>
                <w:bCs/>
              </w:rPr>
            </w:pPr>
          </w:p>
        </w:tc>
      </w:tr>
    </w:tbl>
    <w:p w14:paraId="0CAE5952" w14:textId="77777777" w:rsidR="00D4431F" w:rsidRPr="00D4431F" w:rsidRDefault="00572AFC" w:rsidP="00D4431F">
      <w:pPr>
        <w:jc w:val="both"/>
        <w:rPr>
          <w:rFonts w:cstheme="minorHAnsi"/>
          <w:bCs/>
        </w:rPr>
      </w:pPr>
    </w:p>
    <w:p w14:paraId="0CAE5955" w14:textId="000473F8" w:rsidR="00D4431F" w:rsidRPr="00CA04F3" w:rsidRDefault="001B47BD" w:rsidP="00CA04F3">
      <w:pPr>
        <w:pStyle w:val="Heading2"/>
        <w:rPr>
          <w:rFonts w:asciiTheme="majorHAnsi" w:hAnsiTheme="majorHAnsi" w:cstheme="majorHAnsi"/>
          <w:sz w:val="22"/>
        </w:rPr>
      </w:pPr>
      <w:r>
        <w:rPr>
          <w:rFonts w:asciiTheme="majorHAnsi" w:hAnsiTheme="majorHAnsi" w:cstheme="majorHAnsi"/>
          <w:sz w:val="22"/>
        </w:rPr>
        <w:t xml:space="preserve">The </w:t>
      </w:r>
      <w:r w:rsidR="0035516E" w:rsidRPr="00CA04F3">
        <w:rPr>
          <w:rFonts w:asciiTheme="majorHAnsi" w:hAnsiTheme="majorHAnsi" w:cstheme="majorHAnsi"/>
          <w:sz w:val="22"/>
        </w:rPr>
        <w:t>R</w:t>
      </w:r>
      <w:r>
        <w:rPr>
          <w:rFonts w:asciiTheme="majorHAnsi" w:hAnsiTheme="majorHAnsi" w:cstheme="majorHAnsi"/>
          <w:sz w:val="22"/>
        </w:rPr>
        <w:t>ole of Internal Audit</w:t>
      </w:r>
    </w:p>
    <w:p w14:paraId="0CAE5956" w14:textId="1FE6D2BA" w:rsidR="006149F1" w:rsidRPr="00555E0A" w:rsidRDefault="001B47BD" w:rsidP="00CA04F3">
      <w:pPr>
        <w:numPr>
          <w:ilvl w:val="0"/>
          <w:numId w:val="8"/>
        </w:numPr>
        <w:jc w:val="both"/>
        <w:rPr>
          <w:rFonts w:cstheme="minorHAnsi"/>
          <w:bCs/>
          <w:sz w:val="22"/>
          <w:szCs w:val="22"/>
        </w:rPr>
      </w:pPr>
      <w:r w:rsidRPr="00555E0A">
        <w:rPr>
          <w:rFonts w:cstheme="minorHAnsi"/>
          <w:bCs/>
          <w:iCs/>
          <w:sz w:val="22"/>
          <w:szCs w:val="22"/>
        </w:rPr>
        <w:t xml:space="preserve">The Internal Audit Service is an assurance function that provides an independent and objective opinion on the adequacy and effectiveness of the council’s control environment.  The Public Sector Internal Audit Standards (PSIAS) issued by the Chartered Institute of Public Finance and Accountancy (CIPFA) and the Chartered Institute of Internal Auditors (CIIA) require the head of internal audit to provide an opinion on the councils control environment.  This report fulfils this requirement and assists the council in meeting the requirements of the Accounts and Audit Regulations 2015. </w:t>
      </w:r>
      <w:r w:rsidR="0035516E" w:rsidRPr="00555E0A">
        <w:rPr>
          <w:rFonts w:cstheme="minorHAnsi"/>
          <w:bCs/>
          <w:i/>
          <w:sz w:val="22"/>
          <w:szCs w:val="22"/>
        </w:rPr>
        <w:t xml:space="preserve"> </w:t>
      </w:r>
    </w:p>
    <w:p w14:paraId="752EDF84" w14:textId="77777777" w:rsidR="002C565B" w:rsidRPr="001B47BD" w:rsidRDefault="002C565B" w:rsidP="002C565B">
      <w:pPr>
        <w:ind w:left="720"/>
        <w:jc w:val="both"/>
        <w:rPr>
          <w:rFonts w:cstheme="minorHAnsi"/>
          <w:bCs/>
        </w:rPr>
      </w:pPr>
    </w:p>
    <w:p w14:paraId="00EB5E1F" w14:textId="77777777" w:rsidR="00D63CD4" w:rsidRDefault="00D63CD4" w:rsidP="002C565B">
      <w:pPr>
        <w:jc w:val="both"/>
        <w:rPr>
          <w:rFonts w:cstheme="minorHAnsi"/>
          <w:b/>
          <w:sz w:val="22"/>
          <w:szCs w:val="22"/>
        </w:rPr>
      </w:pPr>
    </w:p>
    <w:p w14:paraId="230C4696" w14:textId="77777777" w:rsidR="00D63CD4" w:rsidRDefault="00D63CD4" w:rsidP="002C565B">
      <w:pPr>
        <w:jc w:val="both"/>
        <w:rPr>
          <w:rFonts w:cstheme="minorHAnsi"/>
          <w:b/>
          <w:sz w:val="22"/>
          <w:szCs w:val="22"/>
        </w:rPr>
      </w:pPr>
    </w:p>
    <w:p w14:paraId="3708C690" w14:textId="608680E9" w:rsidR="002C565B" w:rsidRPr="003A208B" w:rsidRDefault="002C565B" w:rsidP="002C565B">
      <w:pPr>
        <w:jc w:val="both"/>
        <w:rPr>
          <w:rFonts w:cstheme="minorHAnsi"/>
          <w:b/>
          <w:sz w:val="22"/>
          <w:szCs w:val="22"/>
        </w:rPr>
      </w:pPr>
      <w:r w:rsidRPr="003A208B">
        <w:rPr>
          <w:rFonts w:cstheme="minorHAnsi"/>
          <w:b/>
          <w:sz w:val="22"/>
          <w:szCs w:val="22"/>
        </w:rPr>
        <w:t>Internal Audit Plan 2020-21</w:t>
      </w:r>
    </w:p>
    <w:p w14:paraId="5B8F924D" w14:textId="7EF53F62" w:rsidR="002C565B" w:rsidRPr="002C565B" w:rsidRDefault="00D63CD4" w:rsidP="002C565B">
      <w:pPr>
        <w:pStyle w:val="Heading2"/>
        <w:numPr>
          <w:ilvl w:val="0"/>
          <w:numId w:val="8"/>
        </w:numPr>
        <w:rPr>
          <w:rFonts w:asciiTheme="majorHAnsi" w:hAnsiTheme="majorHAnsi" w:cstheme="majorHAnsi"/>
          <w:b w:val="0"/>
          <w:bCs w:val="0"/>
          <w:sz w:val="22"/>
        </w:rPr>
      </w:pPr>
      <w:r w:rsidRPr="002C565B">
        <w:rPr>
          <w:rFonts w:asciiTheme="majorHAnsi" w:hAnsiTheme="majorHAnsi" w:cstheme="majorHAnsi"/>
          <w:b w:val="0"/>
          <w:bCs w:val="0"/>
          <w:sz w:val="22"/>
        </w:rPr>
        <w:t>During</w:t>
      </w:r>
      <w:r w:rsidR="002C565B" w:rsidRPr="002C565B">
        <w:rPr>
          <w:rFonts w:asciiTheme="majorHAnsi" w:hAnsiTheme="majorHAnsi" w:cstheme="majorHAnsi"/>
          <w:b w:val="0"/>
          <w:bCs w:val="0"/>
          <w:sz w:val="22"/>
        </w:rPr>
        <w:t xml:space="preserve"> 2020-21, it was reported to members that the Internal Audit Service was in a period of transition for 3 main reasons:</w:t>
      </w:r>
    </w:p>
    <w:p w14:paraId="3BE39D5E" w14:textId="625B8DA9" w:rsidR="002C565B" w:rsidRDefault="002C565B" w:rsidP="00555E0A">
      <w:pPr>
        <w:pStyle w:val="Heading2"/>
        <w:numPr>
          <w:ilvl w:val="0"/>
          <w:numId w:val="10"/>
        </w:numPr>
        <w:rPr>
          <w:rFonts w:asciiTheme="majorHAnsi" w:hAnsiTheme="majorHAnsi" w:cstheme="majorHAnsi"/>
          <w:b w:val="0"/>
          <w:bCs w:val="0"/>
          <w:sz w:val="22"/>
        </w:rPr>
      </w:pPr>
      <w:r w:rsidRPr="002C565B">
        <w:rPr>
          <w:rFonts w:asciiTheme="majorHAnsi" w:hAnsiTheme="majorHAnsi" w:cstheme="majorHAnsi"/>
          <w:b w:val="0"/>
          <w:bCs w:val="0"/>
          <w:sz w:val="22"/>
        </w:rPr>
        <w:t>Reduced capacity.  For a large proportion of the year, the service operated on reduced resources due to the loss of a number of experienced officers. Whilst the service utilised temporary staff, this impacted upon service continuity, provision and work planning.</w:t>
      </w:r>
    </w:p>
    <w:p w14:paraId="6D5682A1" w14:textId="154D58B3" w:rsidR="002C565B" w:rsidRDefault="002C565B" w:rsidP="002C565B">
      <w:pPr>
        <w:pStyle w:val="Heading2"/>
        <w:numPr>
          <w:ilvl w:val="0"/>
          <w:numId w:val="10"/>
        </w:numPr>
        <w:rPr>
          <w:rFonts w:asciiTheme="majorHAnsi" w:hAnsiTheme="majorHAnsi" w:cstheme="majorHAnsi"/>
          <w:b w:val="0"/>
          <w:bCs w:val="0"/>
          <w:sz w:val="22"/>
        </w:rPr>
      </w:pPr>
      <w:r>
        <w:rPr>
          <w:rFonts w:asciiTheme="majorHAnsi" w:hAnsiTheme="majorHAnsi" w:cstheme="majorHAnsi"/>
          <w:b w:val="0"/>
          <w:bCs w:val="0"/>
          <w:sz w:val="22"/>
        </w:rPr>
        <w:t>C</w:t>
      </w:r>
      <w:r w:rsidR="00D63CD4">
        <w:rPr>
          <w:rFonts w:asciiTheme="majorHAnsi" w:hAnsiTheme="majorHAnsi" w:cstheme="majorHAnsi"/>
          <w:b w:val="0"/>
          <w:bCs w:val="0"/>
          <w:sz w:val="22"/>
        </w:rPr>
        <w:t>OVID 19</w:t>
      </w:r>
      <w:r>
        <w:rPr>
          <w:rFonts w:asciiTheme="majorHAnsi" w:hAnsiTheme="majorHAnsi" w:cstheme="majorHAnsi"/>
          <w:b w:val="0"/>
          <w:bCs w:val="0"/>
          <w:sz w:val="22"/>
        </w:rPr>
        <w:t>.   The national lockdown</w:t>
      </w:r>
      <w:r w:rsidR="00BF466E">
        <w:rPr>
          <w:rFonts w:asciiTheme="majorHAnsi" w:hAnsiTheme="majorHAnsi" w:cstheme="majorHAnsi"/>
          <w:b w:val="0"/>
          <w:bCs w:val="0"/>
          <w:sz w:val="22"/>
        </w:rPr>
        <w:t>s</w:t>
      </w:r>
      <w:r>
        <w:rPr>
          <w:rFonts w:asciiTheme="majorHAnsi" w:hAnsiTheme="majorHAnsi" w:cstheme="majorHAnsi"/>
          <w:b w:val="0"/>
          <w:bCs w:val="0"/>
          <w:sz w:val="22"/>
        </w:rPr>
        <w:t xml:space="preserve"> had a significant impact on the service.  Internal Audit </w:t>
      </w:r>
      <w:r w:rsidR="00BF466E">
        <w:rPr>
          <w:rFonts w:asciiTheme="majorHAnsi" w:hAnsiTheme="majorHAnsi" w:cstheme="majorHAnsi"/>
          <w:b w:val="0"/>
          <w:bCs w:val="0"/>
          <w:sz w:val="22"/>
        </w:rPr>
        <w:t xml:space="preserve">Team </w:t>
      </w:r>
      <w:r w:rsidR="00AD75CA">
        <w:rPr>
          <w:rFonts w:asciiTheme="majorHAnsi" w:hAnsiTheme="majorHAnsi" w:cstheme="majorHAnsi"/>
          <w:b w:val="0"/>
          <w:bCs w:val="0"/>
          <w:sz w:val="22"/>
        </w:rPr>
        <w:t xml:space="preserve">assisted with the council’s initial </w:t>
      </w:r>
      <w:r>
        <w:rPr>
          <w:rFonts w:asciiTheme="majorHAnsi" w:hAnsiTheme="majorHAnsi" w:cstheme="majorHAnsi"/>
          <w:b w:val="0"/>
          <w:bCs w:val="0"/>
          <w:sz w:val="22"/>
        </w:rPr>
        <w:t xml:space="preserve">response and </w:t>
      </w:r>
      <w:r w:rsidR="00BF466E">
        <w:rPr>
          <w:rFonts w:asciiTheme="majorHAnsi" w:hAnsiTheme="majorHAnsi" w:cstheme="majorHAnsi"/>
          <w:b w:val="0"/>
          <w:bCs w:val="0"/>
          <w:sz w:val="22"/>
        </w:rPr>
        <w:t xml:space="preserve">were redeployed to the Community Hubs to provide support.  As a result, approximately 176 audit chargeable and </w:t>
      </w:r>
      <w:r w:rsidR="00D63CD4">
        <w:rPr>
          <w:rFonts w:asciiTheme="majorHAnsi" w:hAnsiTheme="majorHAnsi" w:cstheme="majorHAnsi"/>
          <w:b w:val="0"/>
          <w:bCs w:val="0"/>
          <w:sz w:val="22"/>
        </w:rPr>
        <w:t>non-chargeable</w:t>
      </w:r>
      <w:r w:rsidR="00BF466E">
        <w:rPr>
          <w:rFonts w:asciiTheme="majorHAnsi" w:hAnsiTheme="majorHAnsi" w:cstheme="majorHAnsi"/>
          <w:b w:val="0"/>
          <w:bCs w:val="0"/>
          <w:sz w:val="22"/>
        </w:rPr>
        <w:t xml:space="preserve"> days were lost.</w:t>
      </w:r>
    </w:p>
    <w:p w14:paraId="3B8A237C" w14:textId="2665655C" w:rsidR="00BF466E" w:rsidRDefault="00BF466E" w:rsidP="002C565B">
      <w:pPr>
        <w:pStyle w:val="Heading2"/>
        <w:numPr>
          <w:ilvl w:val="0"/>
          <w:numId w:val="10"/>
        </w:numPr>
        <w:rPr>
          <w:rFonts w:asciiTheme="majorHAnsi" w:hAnsiTheme="majorHAnsi" w:cstheme="majorHAnsi"/>
          <w:b w:val="0"/>
          <w:bCs w:val="0"/>
          <w:sz w:val="22"/>
        </w:rPr>
      </w:pPr>
      <w:r>
        <w:rPr>
          <w:rFonts w:asciiTheme="majorHAnsi" w:hAnsiTheme="majorHAnsi" w:cstheme="majorHAnsi"/>
          <w:b w:val="0"/>
          <w:bCs w:val="0"/>
          <w:sz w:val="22"/>
        </w:rPr>
        <w:t xml:space="preserve">As Internal Audit returned to normal duties, it was apparent that other services and teams were </w:t>
      </w:r>
      <w:r w:rsidR="00AD75CA">
        <w:rPr>
          <w:rFonts w:asciiTheme="majorHAnsi" w:hAnsiTheme="majorHAnsi" w:cstheme="majorHAnsi"/>
          <w:b w:val="0"/>
          <w:bCs w:val="0"/>
          <w:sz w:val="22"/>
        </w:rPr>
        <w:t xml:space="preserve">largely </w:t>
      </w:r>
      <w:r>
        <w:rPr>
          <w:rFonts w:asciiTheme="majorHAnsi" w:hAnsiTheme="majorHAnsi" w:cstheme="majorHAnsi"/>
          <w:b w:val="0"/>
          <w:bCs w:val="0"/>
          <w:sz w:val="22"/>
        </w:rPr>
        <w:t xml:space="preserve">diverted onto </w:t>
      </w:r>
      <w:proofErr w:type="spellStart"/>
      <w:r>
        <w:rPr>
          <w:rFonts w:asciiTheme="majorHAnsi" w:hAnsiTheme="majorHAnsi" w:cstheme="majorHAnsi"/>
          <w:b w:val="0"/>
          <w:bCs w:val="0"/>
          <w:sz w:val="22"/>
        </w:rPr>
        <w:t>covid</w:t>
      </w:r>
      <w:proofErr w:type="spellEnd"/>
      <w:r>
        <w:rPr>
          <w:rFonts w:asciiTheme="majorHAnsi" w:hAnsiTheme="majorHAnsi" w:cstheme="majorHAnsi"/>
          <w:b w:val="0"/>
          <w:bCs w:val="0"/>
          <w:sz w:val="22"/>
        </w:rPr>
        <w:t xml:space="preserve"> response and this impacted upon the planning and delivery of audits.</w:t>
      </w:r>
    </w:p>
    <w:p w14:paraId="13EBCDF6" w14:textId="03D59455" w:rsidR="00BF466E" w:rsidRDefault="00ED7507" w:rsidP="00BF466E">
      <w:pPr>
        <w:pStyle w:val="Heading2"/>
        <w:numPr>
          <w:ilvl w:val="0"/>
          <w:numId w:val="8"/>
        </w:numPr>
        <w:rPr>
          <w:rFonts w:asciiTheme="majorHAnsi" w:hAnsiTheme="majorHAnsi" w:cstheme="majorHAnsi"/>
          <w:b w:val="0"/>
          <w:bCs w:val="0"/>
          <w:sz w:val="22"/>
        </w:rPr>
      </w:pPr>
      <w:r>
        <w:rPr>
          <w:rFonts w:asciiTheme="majorHAnsi" w:hAnsiTheme="majorHAnsi" w:cstheme="majorHAnsi"/>
          <w:b w:val="0"/>
          <w:bCs w:val="0"/>
          <w:sz w:val="22"/>
        </w:rPr>
        <w:t>Despite the above challenges, t</w:t>
      </w:r>
      <w:r w:rsidR="00AD75CA">
        <w:rPr>
          <w:rFonts w:asciiTheme="majorHAnsi" w:hAnsiTheme="majorHAnsi" w:cstheme="majorHAnsi"/>
          <w:b w:val="0"/>
          <w:bCs w:val="0"/>
          <w:sz w:val="22"/>
        </w:rPr>
        <w:t xml:space="preserve">he </w:t>
      </w:r>
      <w:r w:rsidR="00E65C27">
        <w:rPr>
          <w:rFonts w:asciiTheme="majorHAnsi" w:hAnsiTheme="majorHAnsi" w:cstheme="majorHAnsi"/>
          <w:b w:val="0"/>
          <w:bCs w:val="0"/>
          <w:sz w:val="22"/>
        </w:rPr>
        <w:t xml:space="preserve">table below shows the </w:t>
      </w:r>
      <w:r>
        <w:rPr>
          <w:rFonts w:asciiTheme="majorHAnsi" w:hAnsiTheme="majorHAnsi" w:cstheme="majorHAnsi"/>
          <w:b w:val="0"/>
          <w:bCs w:val="0"/>
          <w:sz w:val="22"/>
        </w:rPr>
        <w:t xml:space="preserve">work undertaken by the Internal Audit Service over the course of the year including a summary of work and the assurance rating awarded. </w:t>
      </w:r>
      <w:r w:rsidR="00E65C27">
        <w:rPr>
          <w:rFonts w:asciiTheme="majorHAnsi" w:hAnsiTheme="majorHAnsi" w:cstheme="majorHAnsi"/>
          <w:b w:val="0"/>
          <w:bCs w:val="0"/>
          <w:sz w:val="22"/>
        </w:rPr>
        <w:t xml:space="preserve"> </w:t>
      </w:r>
    </w:p>
    <w:tbl>
      <w:tblPr>
        <w:tblStyle w:val="TableGrid"/>
        <w:tblW w:w="0" w:type="auto"/>
        <w:tblLook w:val="04A0" w:firstRow="1" w:lastRow="0" w:firstColumn="1" w:lastColumn="0" w:noHBand="0" w:noVBand="1"/>
      </w:tblPr>
      <w:tblGrid>
        <w:gridCol w:w="3373"/>
        <w:gridCol w:w="1342"/>
        <w:gridCol w:w="4301"/>
      </w:tblGrid>
      <w:tr w:rsidR="00AD75CA" w14:paraId="5D05288F" w14:textId="77777777" w:rsidTr="00ED7507">
        <w:tc>
          <w:tcPr>
            <w:tcW w:w="3373" w:type="dxa"/>
            <w:shd w:val="clear" w:color="auto" w:fill="DBE5F1" w:themeFill="accent1" w:themeFillTint="33"/>
          </w:tcPr>
          <w:p w14:paraId="6FAE1B15" w14:textId="551C254D" w:rsidR="00AD75CA" w:rsidRPr="00E65C27" w:rsidRDefault="00AD75CA" w:rsidP="00AD75CA">
            <w:pPr>
              <w:pStyle w:val="Heading2"/>
              <w:outlineLvl w:val="1"/>
              <w:rPr>
                <w:rFonts w:asciiTheme="majorHAnsi" w:hAnsiTheme="majorHAnsi" w:cstheme="majorHAnsi"/>
                <w:sz w:val="22"/>
              </w:rPr>
            </w:pPr>
            <w:r w:rsidRPr="00E65C27">
              <w:rPr>
                <w:rFonts w:asciiTheme="majorHAnsi" w:hAnsiTheme="majorHAnsi" w:cstheme="majorHAnsi"/>
                <w:sz w:val="22"/>
              </w:rPr>
              <w:t>Review</w:t>
            </w:r>
          </w:p>
        </w:tc>
        <w:tc>
          <w:tcPr>
            <w:tcW w:w="1342" w:type="dxa"/>
            <w:shd w:val="clear" w:color="auto" w:fill="DBE5F1" w:themeFill="accent1" w:themeFillTint="33"/>
          </w:tcPr>
          <w:p w14:paraId="0551EB9E" w14:textId="20136CF7" w:rsidR="00AD75CA" w:rsidRPr="00E65C27" w:rsidRDefault="00AD75CA" w:rsidP="00AD75CA">
            <w:pPr>
              <w:pStyle w:val="Heading2"/>
              <w:outlineLvl w:val="1"/>
              <w:rPr>
                <w:rFonts w:asciiTheme="majorHAnsi" w:hAnsiTheme="majorHAnsi" w:cstheme="majorHAnsi"/>
                <w:sz w:val="22"/>
              </w:rPr>
            </w:pPr>
            <w:r w:rsidRPr="00E65C27">
              <w:rPr>
                <w:rFonts w:asciiTheme="majorHAnsi" w:hAnsiTheme="majorHAnsi" w:cstheme="majorHAnsi"/>
                <w:sz w:val="22"/>
              </w:rPr>
              <w:t>Assurance Rating</w:t>
            </w:r>
          </w:p>
        </w:tc>
        <w:tc>
          <w:tcPr>
            <w:tcW w:w="4301" w:type="dxa"/>
            <w:shd w:val="clear" w:color="auto" w:fill="DBE5F1" w:themeFill="accent1" w:themeFillTint="33"/>
          </w:tcPr>
          <w:p w14:paraId="6EF48925" w14:textId="5B980C47" w:rsidR="00AD75CA" w:rsidRPr="00E65C27" w:rsidRDefault="00AD75CA" w:rsidP="00AD75CA">
            <w:pPr>
              <w:pStyle w:val="Heading2"/>
              <w:outlineLvl w:val="1"/>
              <w:rPr>
                <w:rFonts w:asciiTheme="majorHAnsi" w:hAnsiTheme="majorHAnsi" w:cstheme="majorHAnsi"/>
                <w:sz w:val="22"/>
              </w:rPr>
            </w:pPr>
            <w:r w:rsidRPr="00E65C27">
              <w:rPr>
                <w:rFonts w:asciiTheme="majorHAnsi" w:hAnsiTheme="majorHAnsi" w:cstheme="majorHAnsi"/>
                <w:sz w:val="22"/>
              </w:rPr>
              <w:t>Summary of work completed / findings</w:t>
            </w:r>
          </w:p>
          <w:p w14:paraId="32C8D0F5" w14:textId="7C4144AD" w:rsidR="00AD75CA" w:rsidRPr="00E65C27" w:rsidRDefault="00AD75CA" w:rsidP="00AD75CA">
            <w:pPr>
              <w:pStyle w:val="Heading2"/>
              <w:outlineLvl w:val="1"/>
              <w:rPr>
                <w:rFonts w:asciiTheme="majorHAnsi" w:hAnsiTheme="majorHAnsi" w:cstheme="majorHAnsi"/>
                <w:sz w:val="22"/>
              </w:rPr>
            </w:pPr>
          </w:p>
        </w:tc>
      </w:tr>
      <w:tr w:rsidR="000F65C3" w14:paraId="065626FC" w14:textId="77777777" w:rsidTr="003A208B">
        <w:trPr>
          <w:trHeight w:val="568"/>
        </w:trPr>
        <w:tc>
          <w:tcPr>
            <w:tcW w:w="9016" w:type="dxa"/>
            <w:gridSpan w:val="3"/>
            <w:shd w:val="clear" w:color="auto" w:fill="C6D9F1" w:themeFill="text2" w:themeFillTint="33"/>
          </w:tcPr>
          <w:p w14:paraId="74589B99" w14:textId="5C58C355" w:rsidR="003A208B" w:rsidRPr="000F65C3" w:rsidRDefault="000F65C3" w:rsidP="003A208B">
            <w:pPr>
              <w:pStyle w:val="Heading2"/>
              <w:outlineLvl w:val="1"/>
              <w:rPr>
                <w:rFonts w:asciiTheme="majorHAnsi" w:hAnsiTheme="majorHAnsi" w:cstheme="majorHAnsi"/>
                <w:sz w:val="22"/>
              </w:rPr>
            </w:pPr>
            <w:r>
              <w:rPr>
                <w:rFonts w:asciiTheme="majorHAnsi" w:hAnsiTheme="majorHAnsi" w:cstheme="majorHAnsi"/>
                <w:sz w:val="22"/>
              </w:rPr>
              <w:t>South Ribble Council</w:t>
            </w:r>
          </w:p>
        </w:tc>
      </w:tr>
      <w:tr w:rsidR="00AD75CA" w14:paraId="1371AE0D" w14:textId="77777777" w:rsidTr="00ED7507">
        <w:tc>
          <w:tcPr>
            <w:tcW w:w="3373" w:type="dxa"/>
          </w:tcPr>
          <w:p w14:paraId="29F1E2D2" w14:textId="3501C9C1" w:rsidR="00AD75CA" w:rsidRDefault="00AD75CA"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Annual Governance Statement (2020)</w:t>
            </w:r>
          </w:p>
        </w:tc>
        <w:tc>
          <w:tcPr>
            <w:tcW w:w="1342" w:type="dxa"/>
          </w:tcPr>
          <w:p w14:paraId="3F976935" w14:textId="111EC735" w:rsidR="00AD75CA" w:rsidRDefault="00AD75CA"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Not applicable</w:t>
            </w:r>
          </w:p>
        </w:tc>
        <w:tc>
          <w:tcPr>
            <w:tcW w:w="4301" w:type="dxa"/>
          </w:tcPr>
          <w:p w14:paraId="55F3196F" w14:textId="50B8D6FF" w:rsidR="00AD75CA" w:rsidRDefault="00AD75CA"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The Council is required under 10(1)(b) of the Accounts and Audit </w:t>
            </w:r>
            <w:r w:rsidR="00CA533A">
              <w:rPr>
                <w:rFonts w:asciiTheme="majorHAnsi" w:hAnsiTheme="majorHAnsi" w:cstheme="majorHAnsi"/>
                <w:b w:val="0"/>
                <w:bCs w:val="0"/>
                <w:sz w:val="22"/>
              </w:rPr>
              <w:t>Regulations</w:t>
            </w:r>
            <w:r>
              <w:rPr>
                <w:rFonts w:asciiTheme="majorHAnsi" w:hAnsiTheme="majorHAnsi" w:cstheme="majorHAnsi"/>
                <w:b w:val="0"/>
                <w:bCs w:val="0"/>
                <w:sz w:val="22"/>
              </w:rPr>
              <w:t xml:space="preserve"> 2015 to publish an Annual Governance Statement.  </w:t>
            </w:r>
          </w:p>
          <w:p w14:paraId="2EABE4B5" w14:textId="36C5C90A" w:rsidR="00E65C27" w:rsidRDefault="00AD75CA"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The role of Internal Audit was to co-ordinate a review of the system of governance and highlight any improvement actions to include in the Annual Governance Statement Action Plan.</w:t>
            </w:r>
          </w:p>
        </w:tc>
      </w:tr>
      <w:tr w:rsidR="00AD75CA" w14:paraId="22732172" w14:textId="77777777" w:rsidTr="00ED7507">
        <w:tc>
          <w:tcPr>
            <w:tcW w:w="3373" w:type="dxa"/>
          </w:tcPr>
          <w:p w14:paraId="0B2EE857" w14:textId="560B5121" w:rsidR="00AD75CA" w:rsidRDefault="00AD75CA"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Assurance Mapping</w:t>
            </w:r>
            <w:r w:rsidR="00E65C27">
              <w:rPr>
                <w:rFonts w:asciiTheme="majorHAnsi" w:hAnsiTheme="majorHAnsi" w:cstheme="majorHAnsi"/>
                <w:b w:val="0"/>
                <w:bCs w:val="0"/>
                <w:sz w:val="22"/>
              </w:rPr>
              <w:t xml:space="preserve"> (19-20)</w:t>
            </w:r>
          </w:p>
        </w:tc>
        <w:tc>
          <w:tcPr>
            <w:tcW w:w="1342" w:type="dxa"/>
          </w:tcPr>
          <w:p w14:paraId="21940D40" w14:textId="6D1AE659" w:rsidR="00AD75CA" w:rsidRDefault="00AD75CA"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Not applicable</w:t>
            </w:r>
          </w:p>
        </w:tc>
        <w:tc>
          <w:tcPr>
            <w:tcW w:w="4301" w:type="dxa"/>
          </w:tcPr>
          <w:p w14:paraId="47CD1A34" w14:textId="544A7450" w:rsidR="00E65C27" w:rsidRDefault="00E65C27" w:rsidP="003A208B">
            <w:pPr>
              <w:pStyle w:val="Heading2"/>
              <w:outlineLvl w:val="1"/>
              <w:rPr>
                <w:rFonts w:asciiTheme="majorHAnsi" w:hAnsiTheme="majorHAnsi" w:cstheme="majorHAnsi"/>
                <w:b w:val="0"/>
                <w:bCs w:val="0"/>
                <w:sz w:val="22"/>
              </w:rPr>
            </w:pPr>
            <w:r>
              <w:rPr>
                <w:rFonts w:asciiTheme="majorHAnsi" w:hAnsiTheme="majorHAnsi" w:cstheme="majorHAnsi"/>
                <w:b w:val="0"/>
                <w:bCs w:val="0"/>
                <w:sz w:val="22"/>
              </w:rPr>
              <w:t>Whilst this work was completed as a separate exercise, assurance mapping is included with the Audit Planning Risk Assessment and is updated on an on-going basis.</w:t>
            </w:r>
          </w:p>
        </w:tc>
      </w:tr>
      <w:tr w:rsidR="00AD75CA" w14:paraId="7F276821" w14:textId="77777777" w:rsidTr="00ED7507">
        <w:tc>
          <w:tcPr>
            <w:tcW w:w="3373" w:type="dxa"/>
          </w:tcPr>
          <w:p w14:paraId="35D6E31D" w14:textId="10FBC20D" w:rsidR="00AD75CA" w:rsidRDefault="00E65C27" w:rsidP="00AD75CA">
            <w:pPr>
              <w:pStyle w:val="Heading2"/>
              <w:outlineLvl w:val="1"/>
              <w:rPr>
                <w:rFonts w:asciiTheme="majorHAnsi" w:hAnsiTheme="majorHAnsi" w:cstheme="majorHAnsi"/>
                <w:b w:val="0"/>
                <w:bCs w:val="0"/>
                <w:sz w:val="22"/>
              </w:rPr>
            </w:pPr>
            <w:proofErr w:type="spellStart"/>
            <w:r>
              <w:rPr>
                <w:rFonts w:asciiTheme="majorHAnsi" w:hAnsiTheme="majorHAnsi" w:cstheme="majorHAnsi"/>
                <w:b w:val="0"/>
                <w:bCs w:val="0"/>
                <w:sz w:val="22"/>
              </w:rPr>
              <w:t>Anti Fraud</w:t>
            </w:r>
            <w:proofErr w:type="spellEnd"/>
            <w:r>
              <w:rPr>
                <w:rFonts w:asciiTheme="majorHAnsi" w:hAnsiTheme="majorHAnsi" w:cstheme="majorHAnsi"/>
                <w:b w:val="0"/>
                <w:bCs w:val="0"/>
                <w:sz w:val="22"/>
              </w:rPr>
              <w:t xml:space="preserve"> and Corruption</w:t>
            </w:r>
          </w:p>
        </w:tc>
        <w:tc>
          <w:tcPr>
            <w:tcW w:w="1342" w:type="dxa"/>
          </w:tcPr>
          <w:p w14:paraId="0BBE0030" w14:textId="77777777" w:rsidR="00AD75CA" w:rsidRDefault="00E65C27"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Not applicable</w:t>
            </w:r>
          </w:p>
          <w:p w14:paraId="0FD39B11" w14:textId="4ED2E592" w:rsidR="00ED7507" w:rsidRDefault="00ED7507" w:rsidP="00AD75CA">
            <w:pPr>
              <w:pStyle w:val="Heading2"/>
              <w:outlineLvl w:val="1"/>
              <w:rPr>
                <w:rFonts w:asciiTheme="majorHAnsi" w:hAnsiTheme="majorHAnsi" w:cstheme="majorHAnsi"/>
                <w:b w:val="0"/>
                <w:bCs w:val="0"/>
                <w:sz w:val="22"/>
              </w:rPr>
            </w:pPr>
          </w:p>
        </w:tc>
        <w:tc>
          <w:tcPr>
            <w:tcW w:w="4301" w:type="dxa"/>
          </w:tcPr>
          <w:p w14:paraId="43F09240" w14:textId="475CF223" w:rsidR="00E65C27" w:rsidRDefault="00E65C27" w:rsidP="003A208B">
            <w:pPr>
              <w:pStyle w:val="Heading2"/>
              <w:outlineLvl w:val="1"/>
              <w:rPr>
                <w:rFonts w:asciiTheme="majorHAnsi" w:hAnsiTheme="majorHAnsi" w:cstheme="majorHAnsi"/>
                <w:b w:val="0"/>
                <w:bCs w:val="0"/>
                <w:sz w:val="22"/>
              </w:rPr>
            </w:pPr>
            <w:r>
              <w:rPr>
                <w:rFonts w:asciiTheme="majorHAnsi" w:hAnsiTheme="majorHAnsi" w:cstheme="majorHAnsi"/>
                <w:b w:val="0"/>
                <w:bCs w:val="0"/>
                <w:sz w:val="22"/>
              </w:rPr>
              <w:t>Fraud alerts were issued on an on-going basis.</w:t>
            </w:r>
          </w:p>
        </w:tc>
      </w:tr>
      <w:tr w:rsidR="00AD75CA" w14:paraId="49C79F02" w14:textId="77777777" w:rsidTr="00ED7507">
        <w:tc>
          <w:tcPr>
            <w:tcW w:w="3373" w:type="dxa"/>
          </w:tcPr>
          <w:p w14:paraId="25D2B3C0" w14:textId="246C50AE" w:rsidR="00AD75CA" w:rsidRDefault="00E65C27"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National Fraud Ini</w:t>
            </w:r>
            <w:r w:rsidR="003A208B">
              <w:rPr>
                <w:rFonts w:asciiTheme="majorHAnsi" w:hAnsiTheme="majorHAnsi" w:cstheme="majorHAnsi"/>
                <w:b w:val="0"/>
                <w:bCs w:val="0"/>
                <w:sz w:val="22"/>
              </w:rPr>
              <w:t>ti</w:t>
            </w:r>
            <w:r>
              <w:rPr>
                <w:rFonts w:asciiTheme="majorHAnsi" w:hAnsiTheme="majorHAnsi" w:cstheme="majorHAnsi"/>
                <w:b w:val="0"/>
                <w:bCs w:val="0"/>
                <w:sz w:val="22"/>
              </w:rPr>
              <w:t>ative</w:t>
            </w:r>
            <w:r w:rsidR="003A208B">
              <w:rPr>
                <w:rFonts w:asciiTheme="majorHAnsi" w:hAnsiTheme="majorHAnsi" w:cstheme="majorHAnsi"/>
                <w:b w:val="0"/>
                <w:bCs w:val="0"/>
                <w:sz w:val="22"/>
              </w:rPr>
              <w:t xml:space="preserve"> (NFI)</w:t>
            </w:r>
          </w:p>
        </w:tc>
        <w:tc>
          <w:tcPr>
            <w:tcW w:w="1342" w:type="dxa"/>
          </w:tcPr>
          <w:p w14:paraId="1F4686AC" w14:textId="29DB146C" w:rsidR="00AD75CA" w:rsidRDefault="00E65C27"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Not applicable</w:t>
            </w:r>
          </w:p>
        </w:tc>
        <w:tc>
          <w:tcPr>
            <w:tcW w:w="4301" w:type="dxa"/>
          </w:tcPr>
          <w:p w14:paraId="584EE8D2" w14:textId="77777777" w:rsidR="00ED7507" w:rsidRDefault="00E65C27" w:rsidP="003A208B">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The use of NFI has been extensive over the course of the past year.  In addition to the biennial exercise, data has also been uploaded for the numerous COVID </w:t>
            </w:r>
            <w:r>
              <w:rPr>
                <w:rFonts w:asciiTheme="majorHAnsi" w:hAnsiTheme="majorHAnsi" w:cstheme="majorHAnsi"/>
                <w:b w:val="0"/>
                <w:bCs w:val="0"/>
                <w:sz w:val="22"/>
              </w:rPr>
              <w:lastRenderedPageBreak/>
              <w:t>Business Support Grants.   Furthermore, the council has</w:t>
            </w:r>
            <w:r w:rsidR="008837F5">
              <w:rPr>
                <w:rFonts w:asciiTheme="majorHAnsi" w:hAnsiTheme="majorHAnsi" w:cstheme="majorHAnsi"/>
                <w:b w:val="0"/>
                <w:bCs w:val="0"/>
                <w:sz w:val="22"/>
              </w:rPr>
              <w:t xml:space="preserve"> recently</w:t>
            </w:r>
            <w:r>
              <w:rPr>
                <w:rFonts w:asciiTheme="majorHAnsi" w:hAnsiTheme="majorHAnsi" w:cstheme="majorHAnsi"/>
                <w:b w:val="0"/>
                <w:bCs w:val="0"/>
                <w:sz w:val="22"/>
              </w:rPr>
              <w:t xml:space="preserve"> taken advantage of the </w:t>
            </w:r>
            <w:r w:rsidR="00CA533A">
              <w:rPr>
                <w:rFonts w:asciiTheme="majorHAnsi" w:hAnsiTheme="majorHAnsi" w:cstheme="majorHAnsi"/>
                <w:b w:val="0"/>
                <w:bCs w:val="0"/>
                <w:sz w:val="22"/>
              </w:rPr>
              <w:t>pre-payment</w:t>
            </w:r>
            <w:r w:rsidR="00B56DDE">
              <w:rPr>
                <w:rFonts w:asciiTheme="majorHAnsi" w:hAnsiTheme="majorHAnsi" w:cstheme="majorHAnsi"/>
                <w:b w:val="0"/>
                <w:bCs w:val="0"/>
                <w:sz w:val="22"/>
              </w:rPr>
              <w:t xml:space="preserve"> checks offered by the NFI to reduce the risk of grant payments being made either in error or fraudulent claims.  </w:t>
            </w:r>
            <w:r>
              <w:rPr>
                <w:rFonts w:asciiTheme="majorHAnsi" w:hAnsiTheme="majorHAnsi" w:cstheme="majorHAnsi"/>
                <w:b w:val="0"/>
                <w:bCs w:val="0"/>
                <w:sz w:val="22"/>
              </w:rPr>
              <w:t xml:space="preserve">The results of the data matching </w:t>
            </w:r>
            <w:r w:rsidR="00CA533A">
              <w:rPr>
                <w:rFonts w:asciiTheme="majorHAnsi" w:hAnsiTheme="majorHAnsi" w:cstheme="majorHAnsi"/>
                <w:b w:val="0"/>
                <w:bCs w:val="0"/>
                <w:sz w:val="22"/>
              </w:rPr>
              <w:t>exercises are</w:t>
            </w:r>
            <w:r w:rsidR="00B56DDE">
              <w:rPr>
                <w:rFonts w:asciiTheme="majorHAnsi" w:hAnsiTheme="majorHAnsi" w:cstheme="majorHAnsi"/>
                <w:b w:val="0"/>
                <w:bCs w:val="0"/>
                <w:sz w:val="22"/>
              </w:rPr>
              <w:t xml:space="preserve"> due to be released over the coming weeks and the results will be reported to the committee over the course of the coming year.</w:t>
            </w:r>
          </w:p>
          <w:p w14:paraId="6FA9379E" w14:textId="33A83D92" w:rsidR="00ED7507" w:rsidRDefault="00ED7507" w:rsidP="00ED7507">
            <w:pPr>
              <w:pStyle w:val="Heading2"/>
              <w:outlineLvl w:val="1"/>
              <w:rPr>
                <w:rFonts w:asciiTheme="majorHAnsi" w:hAnsiTheme="majorHAnsi" w:cstheme="majorHAnsi"/>
                <w:b w:val="0"/>
                <w:bCs w:val="0"/>
                <w:sz w:val="22"/>
              </w:rPr>
            </w:pPr>
          </w:p>
        </w:tc>
      </w:tr>
      <w:tr w:rsidR="00AD75CA" w14:paraId="344B8B66" w14:textId="77777777" w:rsidTr="00ED7507">
        <w:tc>
          <w:tcPr>
            <w:tcW w:w="3373" w:type="dxa"/>
          </w:tcPr>
          <w:p w14:paraId="0A2BFE40" w14:textId="6B176234" w:rsidR="00AD75CA" w:rsidRPr="00ED7507" w:rsidRDefault="00B56DDE" w:rsidP="00AD75CA">
            <w:pPr>
              <w:pStyle w:val="Heading2"/>
              <w:outlineLvl w:val="1"/>
              <w:rPr>
                <w:rFonts w:asciiTheme="majorHAnsi" w:hAnsiTheme="majorHAnsi" w:cstheme="majorHAnsi"/>
                <w:b w:val="0"/>
                <w:bCs w:val="0"/>
                <w:sz w:val="22"/>
              </w:rPr>
            </w:pPr>
            <w:r w:rsidRPr="00ED7507">
              <w:rPr>
                <w:rFonts w:asciiTheme="majorHAnsi" w:hAnsiTheme="majorHAnsi" w:cstheme="majorHAnsi"/>
                <w:b w:val="0"/>
                <w:bCs w:val="0"/>
                <w:sz w:val="22"/>
              </w:rPr>
              <w:lastRenderedPageBreak/>
              <w:t>Corporate Complaints (20-21)</w:t>
            </w:r>
          </w:p>
        </w:tc>
        <w:tc>
          <w:tcPr>
            <w:tcW w:w="1342" w:type="dxa"/>
          </w:tcPr>
          <w:p w14:paraId="54C58DA7" w14:textId="44752EFF" w:rsidR="00AD75CA" w:rsidRPr="00ED7507" w:rsidRDefault="00ED7507" w:rsidP="00AD75C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Substantial </w:t>
            </w:r>
          </w:p>
        </w:tc>
        <w:tc>
          <w:tcPr>
            <w:tcW w:w="4301" w:type="dxa"/>
          </w:tcPr>
          <w:p w14:paraId="4FECA369" w14:textId="77366E2D" w:rsidR="00AD75CA" w:rsidRPr="001C389D" w:rsidRDefault="001C389D" w:rsidP="00AD75CA">
            <w:pPr>
              <w:pStyle w:val="Heading2"/>
              <w:outlineLvl w:val="1"/>
              <w:rPr>
                <w:rFonts w:asciiTheme="majorHAnsi" w:hAnsiTheme="majorHAnsi" w:cstheme="majorHAnsi"/>
                <w:b w:val="0"/>
                <w:bCs w:val="0"/>
                <w:sz w:val="22"/>
              </w:rPr>
            </w:pPr>
            <w:r w:rsidRPr="001C389D">
              <w:rPr>
                <w:rFonts w:asciiTheme="majorHAnsi" w:hAnsiTheme="majorHAnsi" w:cstheme="majorHAnsi"/>
                <w:b w:val="0"/>
                <w:bCs w:val="0"/>
                <w:sz w:val="22"/>
              </w:rPr>
              <w:t>No key control issues identified</w:t>
            </w:r>
          </w:p>
          <w:p w14:paraId="7D947773" w14:textId="77777777" w:rsidR="00ED7507" w:rsidRDefault="00ED7507" w:rsidP="00AD75CA">
            <w:pPr>
              <w:pStyle w:val="Heading2"/>
              <w:outlineLvl w:val="1"/>
              <w:rPr>
                <w:rFonts w:asciiTheme="majorHAnsi" w:hAnsiTheme="majorHAnsi" w:cstheme="majorHAnsi"/>
                <w:b w:val="0"/>
                <w:bCs w:val="0"/>
                <w:i/>
                <w:iCs/>
                <w:sz w:val="22"/>
              </w:rPr>
            </w:pPr>
          </w:p>
          <w:p w14:paraId="39D8268C" w14:textId="6FE9F622" w:rsidR="00207453" w:rsidRPr="00ED7507" w:rsidRDefault="00207453" w:rsidP="00AD75CA">
            <w:pPr>
              <w:pStyle w:val="Heading2"/>
              <w:outlineLvl w:val="1"/>
              <w:rPr>
                <w:rFonts w:asciiTheme="majorHAnsi" w:hAnsiTheme="majorHAnsi" w:cstheme="majorHAnsi"/>
                <w:b w:val="0"/>
                <w:bCs w:val="0"/>
                <w:i/>
                <w:iCs/>
                <w:sz w:val="22"/>
              </w:rPr>
            </w:pPr>
          </w:p>
        </w:tc>
      </w:tr>
      <w:tr w:rsidR="00CA533A" w14:paraId="43BE15E2" w14:textId="77777777" w:rsidTr="00ED7507">
        <w:tc>
          <w:tcPr>
            <w:tcW w:w="3373" w:type="dxa"/>
          </w:tcPr>
          <w:p w14:paraId="585130B5" w14:textId="7EA7ECA6" w:rsidR="00CA533A" w:rsidRPr="00380D24" w:rsidRDefault="00CA533A" w:rsidP="00AD75CA">
            <w:pPr>
              <w:pStyle w:val="Heading2"/>
              <w:outlineLvl w:val="1"/>
              <w:rPr>
                <w:rFonts w:asciiTheme="majorHAnsi" w:hAnsiTheme="majorHAnsi" w:cstheme="majorHAnsi"/>
                <w:b w:val="0"/>
                <w:bCs w:val="0"/>
                <w:color w:val="FF0000"/>
                <w:sz w:val="22"/>
                <w:highlight w:val="yellow"/>
              </w:rPr>
            </w:pPr>
            <w:r w:rsidRPr="00ED7507">
              <w:rPr>
                <w:rFonts w:asciiTheme="majorHAnsi" w:hAnsiTheme="majorHAnsi" w:cstheme="majorHAnsi"/>
                <w:b w:val="0"/>
                <w:bCs w:val="0"/>
                <w:sz w:val="22"/>
              </w:rPr>
              <w:t>GDPR Implementation Follow up Review</w:t>
            </w:r>
          </w:p>
        </w:tc>
        <w:tc>
          <w:tcPr>
            <w:tcW w:w="1342" w:type="dxa"/>
          </w:tcPr>
          <w:p w14:paraId="3DC67C53" w14:textId="6782A49F" w:rsidR="00CA533A" w:rsidRPr="00380D24" w:rsidRDefault="00CA533A" w:rsidP="00AD75CA">
            <w:pPr>
              <w:pStyle w:val="Heading2"/>
              <w:outlineLvl w:val="1"/>
              <w:rPr>
                <w:rFonts w:asciiTheme="majorHAnsi" w:hAnsiTheme="majorHAnsi" w:cstheme="majorHAnsi"/>
                <w:b w:val="0"/>
                <w:bCs w:val="0"/>
                <w:color w:val="FF0000"/>
                <w:sz w:val="22"/>
                <w:highlight w:val="yellow"/>
              </w:rPr>
            </w:pPr>
            <w:r w:rsidRPr="00ED7507">
              <w:rPr>
                <w:rFonts w:asciiTheme="majorHAnsi" w:hAnsiTheme="majorHAnsi" w:cstheme="majorHAnsi"/>
                <w:b w:val="0"/>
                <w:bCs w:val="0"/>
                <w:sz w:val="22"/>
              </w:rPr>
              <w:t>Not applicable</w:t>
            </w:r>
          </w:p>
        </w:tc>
        <w:tc>
          <w:tcPr>
            <w:tcW w:w="4301" w:type="dxa"/>
          </w:tcPr>
          <w:p w14:paraId="481A2B96" w14:textId="77777777" w:rsidR="00CA533A" w:rsidRDefault="00ED7507" w:rsidP="00AD75CA">
            <w:pPr>
              <w:pStyle w:val="Heading2"/>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Our work has concluded that the majority of actions have been implemented within the agreed timescale.  The remaining outstanding actions are in progress, however is largely due to the significant change in working practices that they have not yet been fully implemented.  </w:t>
            </w:r>
          </w:p>
          <w:p w14:paraId="029C5D90" w14:textId="4445E2CA" w:rsidR="00ED7507" w:rsidRPr="00ED7507" w:rsidRDefault="00ED7507" w:rsidP="00AD75CA">
            <w:pPr>
              <w:pStyle w:val="Heading2"/>
              <w:outlineLvl w:val="1"/>
              <w:rPr>
                <w:rFonts w:asciiTheme="majorHAnsi" w:hAnsiTheme="majorHAnsi" w:cstheme="majorHAnsi"/>
                <w:b w:val="0"/>
                <w:bCs w:val="0"/>
                <w:sz w:val="22"/>
                <w:highlight w:val="yellow"/>
              </w:rPr>
            </w:pPr>
          </w:p>
        </w:tc>
      </w:tr>
      <w:tr w:rsidR="00CA533A" w14:paraId="27D3EA89" w14:textId="77777777" w:rsidTr="00ED7507">
        <w:tc>
          <w:tcPr>
            <w:tcW w:w="3373" w:type="dxa"/>
          </w:tcPr>
          <w:p w14:paraId="49F837A6" w14:textId="5CC0A4B3" w:rsidR="00CA533A" w:rsidRPr="00ED7507" w:rsidRDefault="00CA533A" w:rsidP="00CA533A">
            <w:pPr>
              <w:pStyle w:val="Heading2"/>
              <w:outlineLvl w:val="1"/>
              <w:rPr>
                <w:rFonts w:asciiTheme="majorHAnsi" w:hAnsiTheme="majorHAnsi" w:cstheme="majorHAnsi"/>
                <w:b w:val="0"/>
                <w:bCs w:val="0"/>
                <w:sz w:val="22"/>
              </w:rPr>
            </w:pPr>
            <w:r w:rsidRPr="00ED7507">
              <w:rPr>
                <w:rFonts w:asciiTheme="majorHAnsi" w:hAnsiTheme="majorHAnsi" w:cstheme="majorHAnsi"/>
                <w:b w:val="0"/>
                <w:bCs w:val="0"/>
                <w:sz w:val="22"/>
              </w:rPr>
              <w:t>Council Tax</w:t>
            </w:r>
          </w:p>
        </w:tc>
        <w:tc>
          <w:tcPr>
            <w:tcW w:w="1342" w:type="dxa"/>
          </w:tcPr>
          <w:p w14:paraId="527BB777" w14:textId="69D11083" w:rsidR="00CA533A" w:rsidRPr="00ED7507" w:rsidRDefault="00CA533A" w:rsidP="00CA533A">
            <w:pPr>
              <w:pStyle w:val="Heading2"/>
              <w:outlineLvl w:val="1"/>
              <w:rPr>
                <w:rFonts w:asciiTheme="majorHAnsi" w:hAnsiTheme="majorHAnsi" w:cstheme="majorHAnsi"/>
                <w:b w:val="0"/>
                <w:bCs w:val="0"/>
                <w:sz w:val="22"/>
              </w:rPr>
            </w:pPr>
            <w:r w:rsidRPr="00ED7507">
              <w:rPr>
                <w:rFonts w:asciiTheme="majorHAnsi" w:hAnsiTheme="majorHAnsi" w:cstheme="majorHAnsi"/>
                <w:b w:val="0"/>
                <w:bCs w:val="0"/>
                <w:sz w:val="22"/>
              </w:rPr>
              <w:t>Substantial</w:t>
            </w:r>
          </w:p>
        </w:tc>
        <w:tc>
          <w:tcPr>
            <w:tcW w:w="4301" w:type="dxa"/>
          </w:tcPr>
          <w:p w14:paraId="37224787" w14:textId="77777777" w:rsidR="00CA533A" w:rsidRPr="00D435E5" w:rsidRDefault="00CA533A" w:rsidP="00CA533A">
            <w:pPr>
              <w:rPr>
                <w:rFonts w:asciiTheme="majorHAnsi" w:hAnsiTheme="majorHAnsi" w:cstheme="majorHAnsi"/>
                <w:sz w:val="22"/>
                <w:szCs w:val="22"/>
              </w:rPr>
            </w:pPr>
            <w:r w:rsidRPr="00D435E5">
              <w:rPr>
                <w:rFonts w:asciiTheme="majorHAnsi" w:hAnsiTheme="majorHAnsi" w:cstheme="majorHAnsi"/>
                <w:sz w:val="22"/>
                <w:szCs w:val="22"/>
              </w:rPr>
              <w:t>No key control issues identified</w:t>
            </w:r>
          </w:p>
          <w:p w14:paraId="6F3A3A1A" w14:textId="2F06E8EB" w:rsidR="00ED7507" w:rsidRPr="00D435E5" w:rsidRDefault="00ED7507" w:rsidP="00CA533A">
            <w:pPr>
              <w:rPr>
                <w:rFonts w:asciiTheme="majorHAnsi" w:hAnsiTheme="majorHAnsi" w:cstheme="majorHAnsi"/>
                <w:sz w:val="22"/>
                <w:szCs w:val="22"/>
              </w:rPr>
            </w:pPr>
          </w:p>
        </w:tc>
      </w:tr>
      <w:tr w:rsidR="00CA533A" w14:paraId="0F5ADFC4" w14:textId="77777777" w:rsidTr="00ED7507">
        <w:tc>
          <w:tcPr>
            <w:tcW w:w="3373" w:type="dxa"/>
          </w:tcPr>
          <w:p w14:paraId="3A1D2EEC" w14:textId="30ED9B25" w:rsidR="00CA533A" w:rsidRPr="00ED7507" w:rsidRDefault="00CA533A" w:rsidP="00CA533A">
            <w:pPr>
              <w:pStyle w:val="Heading2"/>
              <w:outlineLvl w:val="1"/>
              <w:rPr>
                <w:rFonts w:asciiTheme="majorHAnsi" w:hAnsiTheme="majorHAnsi" w:cstheme="majorHAnsi"/>
                <w:b w:val="0"/>
                <w:bCs w:val="0"/>
                <w:sz w:val="22"/>
              </w:rPr>
            </w:pPr>
            <w:r w:rsidRPr="00ED7507">
              <w:rPr>
                <w:rFonts w:asciiTheme="majorHAnsi" w:hAnsiTheme="majorHAnsi" w:cstheme="majorHAnsi"/>
                <w:b w:val="0"/>
                <w:bCs w:val="0"/>
                <w:sz w:val="22"/>
              </w:rPr>
              <w:t>Business Rates</w:t>
            </w:r>
          </w:p>
        </w:tc>
        <w:tc>
          <w:tcPr>
            <w:tcW w:w="1342" w:type="dxa"/>
          </w:tcPr>
          <w:p w14:paraId="0C9DF36C" w14:textId="7A2F858B" w:rsidR="00CA533A" w:rsidRPr="00ED7507" w:rsidRDefault="00CA533A" w:rsidP="00CA533A">
            <w:pPr>
              <w:pStyle w:val="Heading2"/>
              <w:outlineLvl w:val="1"/>
              <w:rPr>
                <w:rFonts w:asciiTheme="majorHAnsi" w:hAnsiTheme="majorHAnsi" w:cstheme="majorHAnsi"/>
                <w:b w:val="0"/>
                <w:bCs w:val="0"/>
                <w:sz w:val="22"/>
              </w:rPr>
            </w:pPr>
            <w:r w:rsidRPr="00ED7507">
              <w:rPr>
                <w:rFonts w:asciiTheme="majorHAnsi" w:hAnsiTheme="majorHAnsi" w:cstheme="majorHAnsi"/>
                <w:b w:val="0"/>
                <w:bCs w:val="0"/>
                <w:sz w:val="22"/>
              </w:rPr>
              <w:t>Full</w:t>
            </w:r>
          </w:p>
        </w:tc>
        <w:tc>
          <w:tcPr>
            <w:tcW w:w="4301" w:type="dxa"/>
          </w:tcPr>
          <w:p w14:paraId="7009D813" w14:textId="77777777" w:rsidR="00CA533A" w:rsidRPr="00D435E5" w:rsidRDefault="00CA533A" w:rsidP="00CA533A">
            <w:pPr>
              <w:rPr>
                <w:rFonts w:asciiTheme="majorHAnsi" w:hAnsiTheme="majorHAnsi" w:cstheme="majorHAnsi"/>
                <w:sz w:val="22"/>
                <w:szCs w:val="22"/>
              </w:rPr>
            </w:pPr>
            <w:r w:rsidRPr="00D435E5">
              <w:rPr>
                <w:rFonts w:asciiTheme="majorHAnsi" w:hAnsiTheme="majorHAnsi" w:cstheme="majorHAnsi"/>
                <w:sz w:val="22"/>
                <w:szCs w:val="22"/>
              </w:rPr>
              <w:t>No key control issues identified</w:t>
            </w:r>
          </w:p>
          <w:p w14:paraId="229027FD" w14:textId="391EDCD0" w:rsidR="00ED7507" w:rsidRPr="00D435E5" w:rsidRDefault="00ED7507" w:rsidP="00CA533A">
            <w:pPr>
              <w:rPr>
                <w:rFonts w:asciiTheme="majorHAnsi" w:hAnsiTheme="majorHAnsi" w:cstheme="majorHAnsi"/>
                <w:b/>
                <w:bCs/>
                <w:sz w:val="22"/>
                <w:szCs w:val="22"/>
              </w:rPr>
            </w:pPr>
          </w:p>
        </w:tc>
      </w:tr>
      <w:tr w:rsidR="00CA533A" w14:paraId="5015281D" w14:textId="77777777" w:rsidTr="00ED7507">
        <w:tc>
          <w:tcPr>
            <w:tcW w:w="3373" w:type="dxa"/>
          </w:tcPr>
          <w:p w14:paraId="6799E61B" w14:textId="6CF72601" w:rsidR="00CA533A" w:rsidRPr="00ED7507" w:rsidRDefault="00CA533A" w:rsidP="00CA533A">
            <w:pPr>
              <w:pStyle w:val="Heading2"/>
              <w:outlineLvl w:val="1"/>
              <w:rPr>
                <w:rFonts w:asciiTheme="majorHAnsi" w:hAnsiTheme="majorHAnsi" w:cstheme="majorHAnsi"/>
                <w:b w:val="0"/>
                <w:bCs w:val="0"/>
                <w:sz w:val="22"/>
              </w:rPr>
            </w:pPr>
            <w:r w:rsidRPr="00ED7507">
              <w:rPr>
                <w:rFonts w:asciiTheme="majorHAnsi" w:hAnsiTheme="majorHAnsi" w:cstheme="majorHAnsi"/>
                <w:b w:val="0"/>
                <w:bCs w:val="0"/>
                <w:sz w:val="22"/>
              </w:rPr>
              <w:t>Housing Benefits</w:t>
            </w:r>
          </w:p>
        </w:tc>
        <w:tc>
          <w:tcPr>
            <w:tcW w:w="1342" w:type="dxa"/>
          </w:tcPr>
          <w:p w14:paraId="161D907F" w14:textId="6B9814A7" w:rsidR="00CA533A" w:rsidRPr="00ED7507" w:rsidRDefault="00CA533A" w:rsidP="00CA533A">
            <w:pPr>
              <w:pStyle w:val="Heading2"/>
              <w:outlineLvl w:val="1"/>
              <w:rPr>
                <w:rFonts w:asciiTheme="majorHAnsi" w:hAnsiTheme="majorHAnsi" w:cstheme="majorHAnsi"/>
                <w:b w:val="0"/>
                <w:bCs w:val="0"/>
                <w:sz w:val="22"/>
              </w:rPr>
            </w:pPr>
            <w:r w:rsidRPr="00ED7507">
              <w:rPr>
                <w:rFonts w:asciiTheme="majorHAnsi" w:hAnsiTheme="majorHAnsi" w:cstheme="majorHAnsi"/>
                <w:b w:val="0"/>
                <w:bCs w:val="0"/>
                <w:sz w:val="22"/>
              </w:rPr>
              <w:t>Substantial</w:t>
            </w:r>
          </w:p>
        </w:tc>
        <w:tc>
          <w:tcPr>
            <w:tcW w:w="4301" w:type="dxa"/>
          </w:tcPr>
          <w:p w14:paraId="2ABD52B4" w14:textId="77777777" w:rsidR="00CA533A" w:rsidRPr="00D435E5" w:rsidRDefault="00CA533A" w:rsidP="00CA533A">
            <w:pPr>
              <w:pStyle w:val="Heading2"/>
              <w:outlineLvl w:val="1"/>
              <w:rPr>
                <w:rFonts w:asciiTheme="majorHAnsi" w:hAnsiTheme="majorHAnsi" w:cstheme="majorHAnsi"/>
                <w:b w:val="0"/>
                <w:bCs w:val="0"/>
                <w:sz w:val="22"/>
                <w:szCs w:val="22"/>
              </w:rPr>
            </w:pPr>
            <w:r w:rsidRPr="00D435E5">
              <w:rPr>
                <w:rFonts w:asciiTheme="majorHAnsi" w:hAnsiTheme="majorHAnsi" w:cstheme="majorHAnsi"/>
                <w:b w:val="0"/>
                <w:bCs w:val="0"/>
                <w:sz w:val="22"/>
                <w:szCs w:val="22"/>
              </w:rPr>
              <w:t>No key control issues identified</w:t>
            </w:r>
          </w:p>
          <w:p w14:paraId="073D2731" w14:textId="44B339CD" w:rsidR="00ED7507" w:rsidRPr="00D435E5" w:rsidRDefault="00ED7507" w:rsidP="00CA533A">
            <w:pPr>
              <w:pStyle w:val="Heading2"/>
              <w:outlineLvl w:val="1"/>
              <w:rPr>
                <w:rFonts w:asciiTheme="majorHAnsi" w:hAnsiTheme="majorHAnsi" w:cstheme="majorHAnsi"/>
                <w:b w:val="0"/>
                <w:bCs w:val="0"/>
                <w:sz w:val="22"/>
                <w:szCs w:val="22"/>
              </w:rPr>
            </w:pPr>
          </w:p>
        </w:tc>
      </w:tr>
      <w:tr w:rsidR="00CA533A" w14:paraId="21D00EE3" w14:textId="77777777" w:rsidTr="00ED7507">
        <w:tc>
          <w:tcPr>
            <w:tcW w:w="3373" w:type="dxa"/>
          </w:tcPr>
          <w:p w14:paraId="153E6558" w14:textId="77777777" w:rsidR="00CA533A" w:rsidRPr="006571E3" w:rsidRDefault="008E4573" w:rsidP="00CA533A">
            <w:pPr>
              <w:pStyle w:val="Heading2"/>
              <w:outlineLvl w:val="1"/>
              <w:rPr>
                <w:rFonts w:asciiTheme="majorHAnsi" w:hAnsiTheme="majorHAnsi" w:cstheme="majorHAnsi"/>
                <w:b w:val="0"/>
                <w:bCs w:val="0"/>
                <w:sz w:val="22"/>
              </w:rPr>
            </w:pPr>
            <w:r w:rsidRPr="006571E3">
              <w:rPr>
                <w:rFonts w:asciiTheme="majorHAnsi" w:hAnsiTheme="majorHAnsi" w:cstheme="majorHAnsi"/>
                <w:b w:val="0"/>
                <w:bCs w:val="0"/>
                <w:sz w:val="22"/>
              </w:rPr>
              <w:t>Car Park Management / Enforcement follow up review</w:t>
            </w:r>
          </w:p>
          <w:p w14:paraId="7D01D06A" w14:textId="4F15DFFA" w:rsidR="006571E3" w:rsidRPr="006571E3" w:rsidRDefault="006571E3" w:rsidP="00CA533A">
            <w:pPr>
              <w:pStyle w:val="Heading2"/>
              <w:outlineLvl w:val="1"/>
              <w:rPr>
                <w:rFonts w:asciiTheme="majorHAnsi" w:hAnsiTheme="majorHAnsi" w:cstheme="majorHAnsi"/>
                <w:b w:val="0"/>
                <w:bCs w:val="0"/>
                <w:sz w:val="22"/>
              </w:rPr>
            </w:pPr>
          </w:p>
        </w:tc>
        <w:tc>
          <w:tcPr>
            <w:tcW w:w="1342" w:type="dxa"/>
          </w:tcPr>
          <w:p w14:paraId="49A56586" w14:textId="50D0A63C" w:rsidR="00CA533A" w:rsidRPr="006571E3" w:rsidRDefault="008E4573" w:rsidP="00CA533A">
            <w:pPr>
              <w:pStyle w:val="Heading2"/>
              <w:outlineLvl w:val="1"/>
              <w:rPr>
                <w:rFonts w:asciiTheme="majorHAnsi" w:hAnsiTheme="majorHAnsi" w:cstheme="majorHAnsi"/>
                <w:b w:val="0"/>
                <w:bCs w:val="0"/>
                <w:sz w:val="22"/>
              </w:rPr>
            </w:pPr>
            <w:r w:rsidRPr="006571E3">
              <w:rPr>
                <w:rFonts w:asciiTheme="majorHAnsi" w:hAnsiTheme="majorHAnsi" w:cstheme="majorHAnsi"/>
                <w:b w:val="0"/>
                <w:bCs w:val="0"/>
                <w:sz w:val="22"/>
              </w:rPr>
              <w:t>Not applicable</w:t>
            </w:r>
          </w:p>
        </w:tc>
        <w:tc>
          <w:tcPr>
            <w:tcW w:w="4301" w:type="dxa"/>
          </w:tcPr>
          <w:p w14:paraId="7DAE88BE" w14:textId="77777777" w:rsidR="006571E3" w:rsidRDefault="006571E3" w:rsidP="00CA533A">
            <w:pPr>
              <w:pStyle w:val="Heading2"/>
              <w:outlineLvl w:val="1"/>
              <w:rPr>
                <w:rFonts w:asciiTheme="majorHAnsi" w:hAnsiTheme="majorHAnsi" w:cstheme="majorHAnsi"/>
                <w:b w:val="0"/>
                <w:bCs w:val="0"/>
                <w:sz w:val="22"/>
              </w:rPr>
            </w:pPr>
            <w:r w:rsidRPr="006571E3">
              <w:rPr>
                <w:rFonts w:asciiTheme="majorHAnsi" w:hAnsiTheme="majorHAnsi" w:cstheme="majorHAnsi"/>
                <w:b w:val="0"/>
                <w:bCs w:val="0"/>
                <w:sz w:val="22"/>
              </w:rPr>
              <w:t>Our review concluded that 5 actions have been fully implemented and that only 1 action in progress which is expected to be fully implemented in the near future.</w:t>
            </w:r>
          </w:p>
          <w:p w14:paraId="693498A0" w14:textId="0F104187" w:rsidR="00CA533A" w:rsidRPr="006571E3" w:rsidRDefault="006571E3" w:rsidP="00CA533A">
            <w:pPr>
              <w:pStyle w:val="Heading2"/>
              <w:outlineLvl w:val="1"/>
              <w:rPr>
                <w:rFonts w:asciiTheme="majorHAnsi" w:hAnsiTheme="majorHAnsi" w:cstheme="majorHAnsi"/>
                <w:b w:val="0"/>
                <w:bCs w:val="0"/>
                <w:sz w:val="22"/>
              </w:rPr>
            </w:pPr>
            <w:r w:rsidRPr="006571E3">
              <w:rPr>
                <w:rFonts w:asciiTheme="majorHAnsi" w:hAnsiTheme="majorHAnsi" w:cstheme="majorHAnsi"/>
                <w:b w:val="0"/>
                <w:bCs w:val="0"/>
                <w:sz w:val="22"/>
              </w:rPr>
              <w:t xml:space="preserve">   </w:t>
            </w:r>
          </w:p>
        </w:tc>
      </w:tr>
      <w:tr w:rsidR="008E4573" w14:paraId="73007CBD" w14:textId="77777777" w:rsidTr="00ED7507">
        <w:tc>
          <w:tcPr>
            <w:tcW w:w="3373" w:type="dxa"/>
          </w:tcPr>
          <w:p w14:paraId="5F277F87" w14:textId="2C4C6F2B" w:rsidR="008E4573" w:rsidRPr="000F65C3" w:rsidRDefault="000F65C3" w:rsidP="00CA533A">
            <w:pPr>
              <w:pStyle w:val="Heading2"/>
              <w:outlineLvl w:val="1"/>
              <w:rPr>
                <w:rFonts w:asciiTheme="majorHAnsi" w:hAnsiTheme="majorHAnsi" w:cstheme="majorHAnsi"/>
                <w:b w:val="0"/>
                <w:bCs w:val="0"/>
                <w:sz w:val="22"/>
              </w:rPr>
            </w:pPr>
            <w:r w:rsidRPr="000F65C3">
              <w:rPr>
                <w:rFonts w:asciiTheme="majorHAnsi" w:hAnsiTheme="majorHAnsi" w:cstheme="majorHAnsi"/>
                <w:b w:val="0"/>
                <w:bCs w:val="0"/>
                <w:sz w:val="22"/>
              </w:rPr>
              <w:t>Project Support</w:t>
            </w:r>
          </w:p>
        </w:tc>
        <w:tc>
          <w:tcPr>
            <w:tcW w:w="1342" w:type="dxa"/>
          </w:tcPr>
          <w:p w14:paraId="095457CE" w14:textId="14B62A3D" w:rsidR="008E4573" w:rsidRPr="00CA533A" w:rsidRDefault="000F65C3" w:rsidP="00CA533A">
            <w:pPr>
              <w:pStyle w:val="Heading2"/>
              <w:outlineLvl w:val="1"/>
              <w:rPr>
                <w:rFonts w:asciiTheme="majorHAnsi" w:hAnsiTheme="majorHAnsi" w:cstheme="majorHAnsi"/>
                <w:b w:val="0"/>
                <w:bCs w:val="0"/>
                <w:color w:val="FF0000"/>
                <w:sz w:val="22"/>
              </w:rPr>
            </w:pPr>
            <w:r w:rsidRPr="000F65C3">
              <w:rPr>
                <w:rFonts w:asciiTheme="majorHAnsi" w:hAnsiTheme="majorHAnsi" w:cstheme="majorHAnsi"/>
                <w:b w:val="0"/>
                <w:bCs w:val="0"/>
                <w:sz w:val="22"/>
              </w:rPr>
              <w:t>Not applicable</w:t>
            </w:r>
          </w:p>
        </w:tc>
        <w:tc>
          <w:tcPr>
            <w:tcW w:w="4301" w:type="dxa"/>
          </w:tcPr>
          <w:p w14:paraId="21EEFB6C" w14:textId="77777777" w:rsidR="000F65C3" w:rsidRDefault="000F65C3" w:rsidP="000F65C3">
            <w:pPr>
              <w:pStyle w:val="Heading2"/>
              <w:outlineLvl w:val="1"/>
              <w:rPr>
                <w:rFonts w:asciiTheme="majorHAnsi" w:hAnsiTheme="majorHAnsi" w:cstheme="majorHAnsi"/>
                <w:b w:val="0"/>
                <w:bCs w:val="0"/>
                <w:sz w:val="22"/>
              </w:rPr>
            </w:pPr>
            <w:r>
              <w:rPr>
                <w:rFonts w:asciiTheme="majorHAnsi" w:hAnsiTheme="majorHAnsi" w:cstheme="majorHAnsi"/>
                <w:b w:val="0"/>
                <w:bCs w:val="0"/>
                <w:sz w:val="22"/>
              </w:rPr>
              <w:t>On-going support has been provided to project managers over the course of the year.</w:t>
            </w:r>
          </w:p>
          <w:p w14:paraId="03B933AF" w14:textId="2BC0E3C6" w:rsidR="006571E3" w:rsidRDefault="006571E3" w:rsidP="000F65C3">
            <w:pPr>
              <w:pStyle w:val="Heading2"/>
              <w:outlineLvl w:val="1"/>
              <w:rPr>
                <w:rFonts w:asciiTheme="majorHAnsi" w:hAnsiTheme="majorHAnsi" w:cstheme="majorHAnsi"/>
                <w:b w:val="0"/>
                <w:bCs w:val="0"/>
                <w:sz w:val="22"/>
              </w:rPr>
            </w:pPr>
          </w:p>
        </w:tc>
      </w:tr>
      <w:tr w:rsidR="008E4573" w14:paraId="3610E1F8" w14:textId="77777777" w:rsidTr="00ED7507">
        <w:tc>
          <w:tcPr>
            <w:tcW w:w="3373" w:type="dxa"/>
          </w:tcPr>
          <w:p w14:paraId="11EEABA5" w14:textId="11E0380F" w:rsidR="008E4573" w:rsidRDefault="000F65C3" w:rsidP="00CA533A">
            <w:pPr>
              <w:pStyle w:val="Heading2"/>
              <w:outlineLvl w:val="1"/>
              <w:rPr>
                <w:rFonts w:asciiTheme="majorHAnsi" w:hAnsiTheme="majorHAnsi" w:cstheme="majorHAnsi"/>
                <w:b w:val="0"/>
                <w:bCs w:val="0"/>
                <w:color w:val="FF0000"/>
                <w:sz w:val="22"/>
              </w:rPr>
            </w:pPr>
            <w:r w:rsidRPr="000F65C3">
              <w:rPr>
                <w:rFonts w:asciiTheme="majorHAnsi" w:hAnsiTheme="majorHAnsi" w:cstheme="majorHAnsi"/>
                <w:b w:val="0"/>
                <w:bCs w:val="0"/>
                <w:sz w:val="22"/>
              </w:rPr>
              <w:t xml:space="preserve">Risk </w:t>
            </w:r>
            <w:r w:rsidR="003A208B">
              <w:rPr>
                <w:rFonts w:asciiTheme="majorHAnsi" w:hAnsiTheme="majorHAnsi" w:cstheme="majorHAnsi"/>
                <w:b w:val="0"/>
                <w:bCs w:val="0"/>
                <w:sz w:val="22"/>
              </w:rPr>
              <w:t>a</w:t>
            </w:r>
            <w:r w:rsidRPr="000F65C3">
              <w:rPr>
                <w:rFonts w:asciiTheme="majorHAnsi" w:hAnsiTheme="majorHAnsi" w:cstheme="majorHAnsi"/>
                <w:b w:val="0"/>
                <w:bCs w:val="0"/>
                <w:sz w:val="22"/>
              </w:rPr>
              <w:t xml:space="preserve">nd Control </w:t>
            </w:r>
            <w:proofErr w:type="spellStart"/>
            <w:r w:rsidRPr="000F65C3">
              <w:rPr>
                <w:rFonts w:asciiTheme="majorHAnsi" w:hAnsiTheme="majorHAnsi" w:cstheme="majorHAnsi"/>
                <w:b w:val="0"/>
                <w:bCs w:val="0"/>
                <w:sz w:val="22"/>
              </w:rPr>
              <w:t>Self Assessment</w:t>
            </w:r>
            <w:proofErr w:type="spellEnd"/>
          </w:p>
        </w:tc>
        <w:tc>
          <w:tcPr>
            <w:tcW w:w="1342" w:type="dxa"/>
          </w:tcPr>
          <w:p w14:paraId="0C3B9496" w14:textId="03302BD4" w:rsidR="008E4573" w:rsidRPr="000F65C3" w:rsidRDefault="000F65C3" w:rsidP="00CA533A">
            <w:pPr>
              <w:pStyle w:val="Heading2"/>
              <w:outlineLvl w:val="1"/>
              <w:rPr>
                <w:rFonts w:asciiTheme="majorHAnsi" w:hAnsiTheme="majorHAnsi" w:cstheme="majorHAnsi"/>
                <w:b w:val="0"/>
                <w:bCs w:val="0"/>
                <w:sz w:val="22"/>
              </w:rPr>
            </w:pPr>
            <w:r w:rsidRPr="000F65C3">
              <w:rPr>
                <w:rFonts w:asciiTheme="majorHAnsi" w:hAnsiTheme="majorHAnsi" w:cstheme="majorHAnsi"/>
                <w:b w:val="0"/>
                <w:bCs w:val="0"/>
                <w:sz w:val="22"/>
              </w:rPr>
              <w:t>Not applicable</w:t>
            </w:r>
          </w:p>
        </w:tc>
        <w:tc>
          <w:tcPr>
            <w:tcW w:w="4301" w:type="dxa"/>
          </w:tcPr>
          <w:p w14:paraId="1A1E0285" w14:textId="77777777" w:rsidR="003A208B" w:rsidRDefault="003A208B" w:rsidP="003A208B">
            <w:pPr>
              <w:pStyle w:val="Heading2"/>
              <w:outlineLvl w:val="1"/>
              <w:rPr>
                <w:rFonts w:asciiTheme="majorHAnsi" w:hAnsiTheme="majorHAnsi" w:cstheme="majorHAnsi"/>
                <w:b w:val="0"/>
                <w:bCs w:val="0"/>
                <w:sz w:val="22"/>
              </w:rPr>
            </w:pPr>
            <w:r>
              <w:rPr>
                <w:rFonts w:asciiTheme="majorHAnsi" w:hAnsiTheme="majorHAnsi" w:cstheme="majorHAnsi"/>
                <w:b w:val="0"/>
                <w:bCs w:val="0"/>
                <w:sz w:val="22"/>
              </w:rPr>
              <w:t>On-going</w:t>
            </w:r>
            <w:r w:rsidR="000F65C3">
              <w:rPr>
                <w:rFonts w:asciiTheme="majorHAnsi" w:hAnsiTheme="majorHAnsi" w:cstheme="majorHAnsi"/>
                <w:b w:val="0"/>
                <w:bCs w:val="0"/>
                <w:sz w:val="22"/>
              </w:rPr>
              <w:t xml:space="preserve"> support has been provided to risk owners over the course of the year.</w:t>
            </w:r>
          </w:p>
          <w:p w14:paraId="64C00872" w14:textId="68302590" w:rsidR="006571E3" w:rsidRDefault="006571E3" w:rsidP="003A208B">
            <w:pPr>
              <w:pStyle w:val="Heading2"/>
              <w:outlineLvl w:val="1"/>
              <w:rPr>
                <w:rFonts w:asciiTheme="majorHAnsi" w:hAnsiTheme="majorHAnsi" w:cstheme="majorHAnsi"/>
                <w:b w:val="0"/>
                <w:bCs w:val="0"/>
                <w:sz w:val="22"/>
              </w:rPr>
            </w:pPr>
          </w:p>
        </w:tc>
      </w:tr>
      <w:tr w:rsidR="000F65C3" w14:paraId="550E4E14" w14:textId="77777777" w:rsidTr="00ED7507">
        <w:tc>
          <w:tcPr>
            <w:tcW w:w="3373" w:type="dxa"/>
          </w:tcPr>
          <w:p w14:paraId="59CACCDA" w14:textId="567FE5A5" w:rsidR="00CE6B10" w:rsidRDefault="000F65C3" w:rsidP="00CE6B10">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COVID support work / Business Grants / Test and Trace </w:t>
            </w:r>
          </w:p>
        </w:tc>
        <w:tc>
          <w:tcPr>
            <w:tcW w:w="1342" w:type="dxa"/>
          </w:tcPr>
          <w:p w14:paraId="5421B99C" w14:textId="01099DB0" w:rsidR="000F65C3" w:rsidRDefault="000F65C3" w:rsidP="000F65C3">
            <w:pPr>
              <w:pStyle w:val="Heading2"/>
              <w:outlineLvl w:val="1"/>
              <w:rPr>
                <w:rFonts w:asciiTheme="majorHAnsi" w:hAnsiTheme="majorHAnsi" w:cstheme="majorHAnsi"/>
                <w:b w:val="0"/>
                <w:bCs w:val="0"/>
                <w:sz w:val="22"/>
              </w:rPr>
            </w:pPr>
            <w:r>
              <w:rPr>
                <w:rFonts w:asciiTheme="majorHAnsi" w:hAnsiTheme="majorHAnsi" w:cstheme="majorHAnsi"/>
                <w:b w:val="0"/>
                <w:bCs w:val="0"/>
                <w:sz w:val="22"/>
              </w:rPr>
              <w:t>Not applicable</w:t>
            </w:r>
          </w:p>
        </w:tc>
        <w:tc>
          <w:tcPr>
            <w:tcW w:w="4301" w:type="dxa"/>
          </w:tcPr>
          <w:p w14:paraId="0983F9FE" w14:textId="3E7867A6" w:rsidR="000F65C3" w:rsidRDefault="00AD3348" w:rsidP="000F65C3">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A considerable amount of work has been undertaken in support of the various grants paid over the past 12 months.  Newly introduced processes were considered by Internal Audit prior to </w:t>
            </w:r>
            <w:r>
              <w:rPr>
                <w:rFonts w:asciiTheme="majorHAnsi" w:hAnsiTheme="majorHAnsi" w:cstheme="majorHAnsi"/>
                <w:b w:val="0"/>
                <w:bCs w:val="0"/>
                <w:sz w:val="22"/>
              </w:rPr>
              <w:lastRenderedPageBreak/>
              <w:t>implementation.  In addition, risk assessments required by the Department for Business, Energy and Industrial Strategy (BEIS) have been completed in conjunction with Shared Financial Services.</w:t>
            </w:r>
          </w:p>
          <w:p w14:paraId="2CDA7D86" w14:textId="49A1C5A2" w:rsidR="00AD3348" w:rsidRDefault="00AD3348" w:rsidP="00AD3348">
            <w:pPr>
              <w:pStyle w:val="Heading2"/>
              <w:outlineLvl w:val="1"/>
              <w:rPr>
                <w:rFonts w:asciiTheme="majorHAnsi" w:hAnsiTheme="majorHAnsi" w:cstheme="majorHAnsi"/>
                <w:b w:val="0"/>
                <w:bCs w:val="0"/>
                <w:sz w:val="22"/>
              </w:rPr>
            </w:pPr>
            <w:r>
              <w:rPr>
                <w:rFonts w:asciiTheme="majorHAnsi" w:hAnsiTheme="majorHAnsi" w:cstheme="majorHAnsi"/>
                <w:b w:val="0"/>
                <w:bCs w:val="0"/>
                <w:sz w:val="22"/>
              </w:rPr>
              <w:t>The Internal Audit Plan for 21-22 contains a substantial number of days to allow for post assurance work to take place.</w:t>
            </w:r>
          </w:p>
        </w:tc>
      </w:tr>
      <w:tr w:rsidR="00CE6B10" w14:paraId="56B7DA8B" w14:textId="77777777" w:rsidTr="00380D24">
        <w:tc>
          <w:tcPr>
            <w:tcW w:w="9016" w:type="dxa"/>
            <w:gridSpan w:val="3"/>
            <w:shd w:val="clear" w:color="auto" w:fill="C6D9F1" w:themeFill="text2" w:themeFillTint="33"/>
          </w:tcPr>
          <w:p w14:paraId="18AB0990" w14:textId="77777777" w:rsidR="00CE6B10" w:rsidRDefault="00CE6B10" w:rsidP="000F65C3">
            <w:pPr>
              <w:pStyle w:val="Heading2"/>
              <w:outlineLvl w:val="1"/>
              <w:rPr>
                <w:rFonts w:asciiTheme="majorHAnsi" w:hAnsiTheme="majorHAnsi" w:cstheme="majorHAnsi"/>
                <w:sz w:val="22"/>
              </w:rPr>
            </w:pPr>
            <w:r>
              <w:rPr>
                <w:rFonts w:asciiTheme="majorHAnsi" w:hAnsiTheme="majorHAnsi" w:cstheme="majorHAnsi"/>
                <w:sz w:val="22"/>
              </w:rPr>
              <w:lastRenderedPageBreak/>
              <w:t>Shared Services</w:t>
            </w:r>
          </w:p>
          <w:p w14:paraId="08B65A6E" w14:textId="67148123" w:rsidR="00AD6DFC" w:rsidRPr="00CE6B10" w:rsidRDefault="00AD6DFC" w:rsidP="000F65C3">
            <w:pPr>
              <w:pStyle w:val="Heading2"/>
              <w:outlineLvl w:val="1"/>
              <w:rPr>
                <w:rFonts w:asciiTheme="majorHAnsi" w:hAnsiTheme="majorHAnsi" w:cstheme="majorHAnsi"/>
                <w:sz w:val="22"/>
              </w:rPr>
            </w:pPr>
          </w:p>
        </w:tc>
      </w:tr>
      <w:tr w:rsidR="00CE6B10" w14:paraId="4C442428" w14:textId="77777777" w:rsidTr="00ED7507">
        <w:tc>
          <w:tcPr>
            <w:tcW w:w="3373" w:type="dxa"/>
          </w:tcPr>
          <w:p w14:paraId="34007CB9" w14:textId="0A985062" w:rsidR="00CE6B10" w:rsidRDefault="00CE6B10" w:rsidP="00CE6B10">
            <w:pPr>
              <w:pStyle w:val="Heading2"/>
              <w:outlineLvl w:val="1"/>
              <w:rPr>
                <w:rFonts w:asciiTheme="majorHAnsi" w:hAnsiTheme="majorHAnsi" w:cstheme="majorHAnsi"/>
                <w:b w:val="0"/>
                <w:bCs w:val="0"/>
                <w:sz w:val="22"/>
              </w:rPr>
            </w:pPr>
            <w:r>
              <w:rPr>
                <w:rFonts w:asciiTheme="majorHAnsi" w:hAnsiTheme="majorHAnsi" w:cstheme="majorHAnsi"/>
                <w:b w:val="0"/>
                <w:bCs w:val="0"/>
                <w:sz w:val="22"/>
              </w:rPr>
              <w:t>Creditors</w:t>
            </w:r>
          </w:p>
        </w:tc>
        <w:tc>
          <w:tcPr>
            <w:tcW w:w="1342" w:type="dxa"/>
          </w:tcPr>
          <w:p w14:paraId="11BD81AD" w14:textId="3F1FDF09" w:rsidR="00CE6B10" w:rsidRDefault="004D4B12" w:rsidP="000F65C3">
            <w:pPr>
              <w:pStyle w:val="Heading2"/>
              <w:outlineLvl w:val="1"/>
              <w:rPr>
                <w:rFonts w:asciiTheme="majorHAnsi" w:hAnsiTheme="majorHAnsi" w:cstheme="majorHAnsi"/>
                <w:b w:val="0"/>
                <w:bCs w:val="0"/>
                <w:sz w:val="22"/>
              </w:rPr>
            </w:pPr>
            <w:r>
              <w:rPr>
                <w:rFonts w:asciiTheme="majorHAnsi" w:hAnsiTheme="majorHAnsi" w:cstheme="majorHAnsi"/>
                <w:b w:val="0"/>
                <w:bCs w:val="0"/>
                <w:sz w:val="22"/>
              </w:rPr>
              <w:t>Not applicable</w:t>
            </w:r>
          </w:p>
        </w:tc>
        <w:tc>
          <w:tcPr>
            <w:tcW w:w="4301" w:type="dxa"/>
          </w:tcPr>
          <w:p w14:paraId="4919D343" w14:textId="02A2CB76" w:rsidR="00CE6B10" w:rsidRDefault="00CE6B10" w:rsidP="00CE6B10">
            <w:pPr>
              <w:rPr>
                <w:iCs/>
                <w:sz w:val="22"/>
                <w:szCs w:val="22"/>
              </w:rPr>
            </w:pPr>
            <w:r w:rsidRPr="00CE6B10">
              <w:rPr>
                <w:iCs/>
                <w:sz w:val="22"/>
                <w:szCs w:val="22"/>
              </w:rPr>
              <w:t xml:space="preserve">A review of Creditors was undertaken in 2019/20 and draft report findings were taken to the Governance Committee in June 2020.  It was agreed that due to the issues identified further substantive work would be undertaken.    </w:t>
            </w:r>
          </w:p>
          <w:p w14:paraId="77F4C9E3" w14:textId="77777777" w:rsidR="00CE6B10" w:rsidRDefault="004D4B12" w:rsidP="004D4B12">
            <w:pPr>
              <w:jc w:val="both"/>
              <w:rPr>
                <w:rFonts w:cs="Arial"/>
                <w:sz w:val="22"/>
                <w:szCs w:val="22"/>
              </w:rPr>
            </w:pPr>
            <w:r>
              <w:rPr>
                <w:rFonts w:cs="Arial"/>
                <w:sz w:val="22"/>
                <w:szCs w:val="22"/>
              </w:rPr>
              <w:t xml:space="preserve">Additional substantive testing was carried out on 6.5% of all purchase orders raised (where there was a variance above £0.01). Testing found that the discrepancies are reasonably explained. </w:t>
            </w:r>
            <w:r w:rsidR="00D63CD4">
              <w:rPr>
                <w:rFonts w:cs="Arial"/>
                <w:sz w:val="22"/>
                <w:szCs w:val="22"/>
              </w:rPr>
              <w:t>A</w:t>
            </w:r>
            <w:r>
              <w:rPr>
                <w:rFonts w:cs="Arial"/>
                <w:sz w:val="22"/>
                <w:szCs w:val="22"/>
              </w:rPr>
              <w:t xml:space="preserve"> detailed action plan has been agreed and will be followed up using the newly introduced process.</w:t>
            </w:r>
          </w:p>
          <w:p w14:paraId="2E2493BA" w14:textId="0C536FCD" w:rsidR="006571E3" w:rsidRDefault="006571E3" w:rsidP="004D4B12">
            <w:pPr>
              <w:jc w:val="both"/>
              <w:rPr>
                <w:rFonts w:asciiTheme="majorHAnsi" w:hAnsiTheme="majorHAnsi" w:cstheme="majorHAnsi"/>
                <w:b/>
                <w:bCs/>
                <w:sz w:val="22"/>
              </w:rPr>
            </w:pPr>
          </w:p>
        </w:tc>
      </w:tr>
      <w:tr w:rsidR="00CE6B10" w14:paraId="77F5C6B4" w14:textId="77777777" w:rsidTr="00ED7507">
        <w:tc>
          <w:tcPr>
            <w:tcW w:w="3373" w:type="dxa"/>
          </w:tcPr>
          <w:p w14:paraId="340F948E" w14:textId="038C9F28" w:rsidR="00CE6B10" w:rsidRPr="006571E3" w:rsidRDefault="004D4B12" w:rsidP="00CE6B10">
            <w:pPr>
              <w:pStyle w:val="Heading2"/>
              <w:outlineLvl w:val="1"/>
              <w:rPr>
                <w:rFonts w:asciiTheme="majorHAnsi" w:hAnsiTheme="majorHAnsi" w:cstheme="majorHAnsi"/>
                <w:b w:val="0"/>
                <w:bCs w:val="0"/>
                <w:sz w:val="22"/>
              </w:rPr>
            </w:pPr>
            <w:r w:rsidRPr="006571E3">
              <w:rPr>
                <w:rFonts w:asciiTheme="majorHAnsi" w:hAnsiTheme="majorHAnsi" w:cstheme="majorHAnsi"/>
                <w:b w:val="0"/>
                <w:bCs w:val="0"/>
                <w:sz w:val="22"/>
              </w:rPr>
              <w:t>Money Laundering</w:t>
            </w:r>
          </w:p>
        </w:tc>
        <w:tc>
          <w:tcPr>
            <w:tcW w:w="1342" w:type="dxa"/>
          </w:tcPr>
          <w:p w14:paraId="54C2E69F" w14:textId="7C6CD40E" w:rsidR="00CE6B10" w:rsidRPr="006571E3" w:rsidRDefault="004D4B12" w:rsidP="000F65C3">
            <w:pPr>
              <w:pStyle w:val="Heading2"/>
              <w:outlineLvl w:val="1"/>
              <w:rPr>
                <w:rFonts w:asciiTheme="majorHAnsi" w:hAnsiTheme="majorHAnsi" w:cstheme="majorHAnsi"/>
                <w:b w:val="0"/>
                <w:bCs w:val="0"/>
                <w:sz w:val="22"/>
              </w:rPr>
            </w:pPr>
            <w:r w:rsidRPr="006571E3">
              <w:rPr>
                <w:rFonts w:asciiTheme="majorHAnsi" w:hAnsiTheme="majorHAnsi" w:cstheme="majorHAnsi"/>
                <w:b w:val="0"/>
                <w:bCs w:val="0"/>
                <w:sz w:val="22"/>
              </w:rPr>
              <w:t>Adequate</w:t>
            </w:r>
          </w:p>
        </w:tc>
        <w:tc>
          <w:tcPr>
            <w:tcW w:w="4301" w:type="dxa"/>
          </w:tcPr>
          <w:p w14:paraId="17887DCA" w14:textId="265E1E59" w:rsidR="004D4B12" w:rsidRDefault="004D4B12" w:rsidP="004D4B12">
            <w:pPr>
              <w:rPr>
                <w:rFonts w:cs="Arial"/>
                <w:sz w:val="22"/>
                <w:szCs w:val="22"/>
              </w:rPr>
            </w:pPr>
            <w:r>
              <w:rPr>
                <w:rFonts w:cs="Arial"/>
                <w:sz w:val="22"/>
                <w:szCs w:val="22"/>
              </w:rPr>
              <w:t>Our work identified that the Council has an Anti-Money Laundering Policy that provides suitable guidance for officers, establish reporting arrangements, and provide details of the officer nominated as the Council’s Money Laundering Reporting Officer (MLRO) and their associated responsibilities. Officers within key service areas had an awareness of money laundering and were undertaking due diligence checks, when required, as part of the day-to-day delivery of the service.</w:t>
            </w:r>
          </w:p>
          <w:p w14:paraId="6A4E690D" w14:textId="77777777" w:rsidR="004D4B12" w:rsidRDefault="004D4B12" w:rsidP="004D4B12">
            <w:pPr>
              <w:rPr>
                <w:rFonts w:cs="Arial"/>
                <w:sz w:val="22"/>
                <w:szCs w:val="22"/>
              </w:rPr>
            </w:pPr>
          </w:p>
          <w:p w14:paraId="5D20FA2D" w14:textId="77777777" w:rsidR="004D4B12" w:rsidRDefault="004D4B12" w:rsidP="004D4B12">
            <w:pPr>
              <w:rPr>
                <w:rFonts w:cs="Arial"/>
                <w:sz w:val="22"/>
                <w:szCs w:val="22"/>
              </w:rPr>
            </w:pPr>
            <w:r>
              <w:rPr>
                <w:rFonts w:cs="Arial"/>
                <w:sz w:val="22"/>
                <w:szCs w:val="22"/>
              </w:rPr>
              <w:t>Our review, however, has highlighted some areas of improvement and these include:</w:t>
            </w:r>
          </w:p>
          <w:p w14:paraId="552A841C" w14:textId="77777777" w:rsidR="004D4B12" w:rsidRDefault="004D4B12" w:rsidP="004D4B12">
            <w:pPr>
              <w:rPr>
                <w:rFonts w:cs="Arial"/>
                <w:sz w:val="22"/>
                <w:szCs w:val="22"/>
              </w:rPr>
            </w:pPr>
          </w:p>
          <w:p w14:paraId="39827ABB" w14:textId="2497D118" w:rsidR="004D4B12" w:rsidRDefault="004D4B12" w:rsidP="004D4B12">
            <w:pPr>
              <w:pStyle w:val="ListParagraph"/>
              <w:numPr>
                <w:ilvl w:val="0"/>
                <w:numId w:val="11"/>
              </w:numPr>
              <w:spacing w:after="0" w:line="240" w:lineRule="auto"/>
              <w:contextualSpacing w:val="0"/>
              <w:rPr>
                <w:rFonts w:cs="Arial"/>
                <w:sz w:val="22"/>
                <w:szCs w:val="22"/>
              </w:rPr>
            </w:pPr>
            <w:r>
              <w:rPr>
                <w:rFonts w:cs="Arial"/>
                <w:sz w:val="22"/>
                <w:szCs w:val="22"/>
              </w:rPr>
              <w:t xml:space="preserve">A review and relaunch of the Policy </w:t>
            </w:r>
          </w:p>
          <w:p w14:paraId="2EFAA615" w14:textId="77777777" w:rsidR="006571E3" w:rsidRPr="006571E3" w:rsidRDefault="004D4B12" w:rsidP="006571E3">
            <w:pPr>
              <w:pStyle w:val="ListParagraph"/>
              <w:numPr>
                <w:ilvl w:val="0"/>
                <w:numId w:val="11"/>
              </w:numPr>
              <w:spacing w:after="0" w:line="240" w:lineRule="auto"/>
              <w:contextualSpacing w:val="0"/>
              <w:rPr>
                <w:rFonts w:asciiTheme="majorHAnsi" w:hAnsiTheme="majorHAnsi" w:cstheme="majorHAnsi"/>
                <w:b/>
                <w:bCs/>
                <w:sz w:val="22"/>
              </w:rPr>
            </w:pPr>
            <w:r>
              <w:rPr>
                <w:rFonts w:cs="Arial"/>
                <w:sz w:val="22"/>
                <w:szCs w:val="22"/>
              </w:rPr>
              <w:t xml:space="preserve">Training to be provided to all Officers and Members. </w:t>
            </w:r>
          </w:p>
          <w:p w14:paraId="54165633" w14:textId="60C250D7" w:rsidR="00CE6B10" w:rsidRDefault="00CE6B10" w:rsidP="006571E3">
            <w:pPr>
              <w:pStyle w:val="ListParagraph"/>
              <w:spacing w:after="0" w:line="240" w:lineRule="auto"/>
              <w:contextualSpacing w:val="0"/>
              <w:rPr>
                <w:rFonts w:asciiTheme="majorHAnsi" w:hAnsiTheme="majorHAnsi" w:cstheme="majorHAnsi"/>
                <w:b/>
                <w:bCs/>
                <w:sz w:val="22"/>
              </w:rPr>
            </w:pPr>
          </w:p>
        </w:tc>
      </w:tr>
    </w:tbl>
    <w:p w14:paraId="487D952C" w14:textId="77777777" w:rsidR="006571E3" w:rsidRDefault="006571E3" w:rsidP="00555E0A">
      <w:pPr>
        <w:pStyle w:val="Heading2"/>
        <w:rPr>
          <w:rFonts w:asciiTheme="majorHAnsi" w:hAnsiTheme="majorHAnsi" w:cstheme="majorHAnsi"/>
          <w:sz w:val="22"/>
        </w:rPr>
      </w:pPr>
    </w:p>
    <w:p w14:paraId="2166B146" w14:textId="77777777" w:rsidR="006571E3" w:rsidRDefault="006571E3" w:rsidP="00555E0A">
      <w:pPr>
        <w:pStyle w:val="Heading2"/>
        <w:rPr>
          <w:rFonts w:asciiTheme="majorHAnsi" w:hAnsiTheme="majorHAnsi" w:cstheme="majorHAnsi"/>
          <w:sz w:val="22"/>
        </w:rPr>
      </w:pPr>
    </w:p>
    <w:p w14:paraId="74FED693" w14:textId="6589F5F0" w:rsidR="00555E0A" w:rsidRPr="00AD3348" w:rsidRDefault="00555E0A" w:rsidP="00555E0A">
      <w:pPr>
        <w:pStyle w:val="Heading2"/>
        <w:rPr>
          <w:rFonts w:asciiTheme="majorHAnsi" w:hAnsiTheme="majorHAnsi" w:cstheme="majorHAnsi"/>
          <w:sz w:val="22"/>
        </w:rPr>
      </w:pPr>
      <w:r w:rsidRPr="00AD3348">
        <w:rPr>
          <w:rFonts w:asciiTheme="majorHAnsi" w:hAnsiTheme="majorHAnsi" w:cstheme="majorHAnsi"/>
          <w:sz w:val="22"/>
        </w:rPr>
        <w:lastRenderedPageBreak/>
        <w:t>Definition of Assurance Ratings</w:t>
      </w:r>
    </w:p>
    <w:tbl>
      <w:tblPr>
        <w:tblStyle w:val="TableGrid"/>
        <w:tblW w:w="0" w:type="auto"/>
        <w:tblLook w:val="04A0" w:firstRow="1" w:lastRow="0" w:firstColumn="1" w:lastColumn="0" w:noHBand="0" w:noVBand="1"/>
      </w:tblPr>
      <w:tblGrid>
        <w:gridCol w:w="1838"/>
        <w:gridCol w:w="7178"/>
      </w:tblGrid>
      <w:tr w:rsidR="00555E0A" w14:paraId="054ED662" w14:textId="77777777" w:rsidTr="00380D24">
        <w:tc>
          <w:tcPr>
            <w:tcW w:w="1838" w:type="dxa"/>
            <w:shd w:val="clear" w:color="auto" w:fill="C6D9F1" w:themeFill="text2" w:themeFillTint="33"/>
          </w:tcPr>
          <w:p w14:paraId="6DD46592" w14:textId="52F62440" w:rsidR="00555E0A" w:rsidRPr="00380D24" w:rsidRDefault="00555E0A" w:rsidP="00555E0A">
            <w:pPr>
              <w:pStyle w:val="Heading2"/>
              <w:outlineLvl w:val="1"/>
              <w:rPr>
                <w:rFonts w:asciiTheme="majorHAnsi" w:hAnsiTheme="majorHAnsi" w:cstheme="majorHAnsi"/>
                <w:sz w:val="22"/>
              </w:rPr>
            </w:pPr>
            <w:r w:rsidRPr="00380D24">
              <w:rPr>
                <w:rFonts w:asciiTheme="majorHAnsi" w:hAnsiTheme="majorHAnsi" w:cstheme="majorHAnsi"/>
                <w:sz w:val="22"/>
              </w:rPr>
              <w:t>Assurance Rating</w:t>
            </w:r>
          </w:p>
        </w:tc>
        <w:tc>
          <w:tcPr>
            <w:tcW w:w="7178" w:type="dxa"/>
            <w:shd w:val="clear" w:color="auto" w:fill="C6D9F1" w:themeFill="text2" w:themeFillTint="33"/>
          </w:tcPr>
          <w:p w14:paraId="0849765F" w14:textId="145D5ADE" w:rsidR="00555E0A" w:rsidRPr="00380D24" w:rsidRDefault="00555E0A" w:rsidP="00555E0A">
            <w:pPr>
              <w:pStyle w:val="Heading2"/>
              <w:outlineLvl w:val="1"/>
              <w:rPr>
                <w:rFonts w:asciiTheme="majorHAnsi" w:hAnsiTheme="majorHAnsi" w:cstheme="majorHAnsi"/>
                <w:sz w:val="22"/>
              </w:rPr>
            </w:pPr>
            <w:r w:rsidRPr="00380D24">
              <w:rPr>
                <w:rFonts w:asciiTheme="majorHAnsi" w:hAnsiTheme="majorHAnsi" w:cstheme="majorHAnsi"/>
                <w:sz w:val="22"/>
              </w:rPr>
              <w:t>Definition</w:t>
            </w:r>
          </w:p>
        </w:tc>
      </w:tr>
      <w:tr w:rsidR="00555E0A" w14:paraId="2B9CFAB0" w14:textId="77777777" w:rsidTr="00380D24">
        <w:tc>
          <w:tcPr>
            <w:tcW w:w="1838" w:type="dxa"/>
          </w:tcPr>
          <w:p w14:paraId="1108EF72" w14:textId="44B2B5FC"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Full</w:t>
            </w:r>
          </w:p>
        </w:tc>
        <w:tc>
          <w:tcPr>
            <w:tcW w:w="7178" w:type="dxa"/>
          </w:tcPr>
          <w:p w14:paraId="1ED6A5A2" w14:textId="378D4BB2"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The Authority can place complete reliance on the controls.  No control weaknesses exist.</w:t>
            </w:r>
          </w:p>
        </w:tc>
      </w:tr>
      <w:tr w:rsidR="00555E0A" w14:paraId="168F0041" w14:textId="77777777" w:rsidTr="00380D24">
        <w:tc>
          <w:tcPr>
            <w:tcW w:w="1838" w:type="dxa"/>
          </w:tcPr>
          <w:p w14:paraId="3C832619" w14:textId="7ED5CC2A"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Substantial</w:t>
            </w:r>
          </w:p>
        </w:tc>
        <w:tc>
          <w:tcPr>
            <w:tcW w:w="7178" w:type="dxa"/>
          </w:tcPr>
          <w:p w14:paraId="0E596547" w14:textId="77DD5B39"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The Authority can place sufficient reliance on the controls.  Only minor control weaknesses exist.</w:t>
            </w:r>
          </w:p>
        </w:tc>
      </w:tr>
      <w:tr w:rsidR="00555E0A" w14:paraId="3167C741" w14:textId="77777777" w:rsidTr="00380D24">
        <w:tc>
          <w:tcPr>
            <w:tcW w:w="1838" w:type="dxa"/>
          </w:tcPr>
          <w:p w14:paraId="07097E94" w14:textId="62466EA5"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Adequate</w:t>
            </w:r>
          </w:p>
        </w:tc>
        <w:tc>
          <w:tcPr>
            <w:tcW w:w="7178" w:type="dxa"/>
          </w:tcPr>
          <w:p w14:paraId="1249B9C0" w14:textId="16C43F41"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The Authority can place only partial reliance on the controls.  Some control issues need to be resolved.</w:t>
            </w:r>
          </w:p>
        </w:tc>
      </w:tr>
      <w:tr w:rsidR="00555E0A" w14:paraId="6CAF9688" w14:textId="77777777" w:rsidTr="00380D24">
        <w:tc>
          <w:tcPr>
            <w:tcW w:w="1838" w:type="dxa"/>
          </w:tcPr>
          <w:p w14:paraId="7553CD8B" w14:textId="76C31971"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Limited</w:t>
            </w:r>
          </w:p>
        </w:tc>
        <w:tc>
          <w:tcPr>
            <w:tcW w:w="7178" w:type="dxa"/>
          </w:tcPr>
          <w:p w14:paraId="2B0151E5" w14:textId="4235747D" w:rsidR="00555E0A" w:rsidRDefault="00555E0A" w:rsidP="00555E0A">
            <w:pPr>
              <w:pStyle w:val="Heading2"/>
              <w:outlineLvl w:val="1"/>
              <w:rPr>
                <w:rFonts w:asciiTheme="majorHAnsi" w:hAnsiTheme="majorHAnsi" w:cstheme="majorHAnsi"/>
                <w:b w:val="0"/>
                <w:bCs w:val="0"/>
                <w:sz w:val="22"/>
              </w:rPr>
            </w:pPr>
            <w:r>
              <w:rPr>
                <w:rFonts w:asciiTheme="majorHAnsi" w:hAnsiTheme="majorHAnsi" w:cstheme="majorHAnsi"/>
                <w:b w:val="0"/>
                <w:bCs w:val="0"/>
                <w:sz w:val="22"/>
              </w:rPr>
              <w:t>The Authority cannot place sufficient reliance on the controls.  Substantive control weaknesses exist</w:t>
            </w:r>
          </w:p>
        </w:tc>
      </w:tr>
    </w:tbl>
    <w:p w14:paraId="011F2C9E" w14:textId="255D0573" w:rsidR="00BF466E" w:rsidRDefault="00B56DDE" w:rsidP="00555E0A">
      <w:pPr>
        <w:pStyle w:val="Heading2"/>
        <w:rPr>
          <w:rFonts w:asciiTheme="majorHAnsi" w:hAnsiTheme="majorHAnsi" w:cstheme="majorHAnsi"/>
          <w:sz w:val="22"/>
        </w:rPr>
      </w:pPr>
      <w:r w:rsidRPr="00B56DDE">
        <w:rPr>
          <w:rFonts w:asciiTheme="majorHAnsi" w:hAnsiTheme="majorHAnsi" w:cstheme="majorHAnsi"/>
          <w:sz w:val="22"/>
        </w:rPr>
        <w:t>Follow up of agreed management actions</w:t>
      </w:r>
    </w:p>
    <w:p w14:paraId="7CA6E5DD" w14:textId="536EB7A7" w:rsidR="00AD3348" w:rsidRPr="006571E3" w:rsidRDefault="00AD3348" w:rsidP="00AD3348">
      <w:pPr>
        <w:pStyle w:val="Heading2"/>
        <w:numPr>
          <w:ilvl w:val="0"/>
          <w:numId w:val="8"/>
        </w:numPr>
        <w:rPr>
          <w:rFonts w:asciiTheme="majorHAnsi" w:hAnsiTheme="majorHAnsi" w:cstheme="majorHAnsi"/>
          <w:sz w:val="22"/>
        </w:rPr>
      </w:pPr>
      <w:r>
        <w:rPr>
          <w:rFonts w:asciiTheme="majorHAnsi" w:hAnsiTheme="majorHAnsi" w:cstheme="majorHAnsi"/>
          <w:b w:val="0"/>
          <w:bCs w:val="0"/>
          <w:sz w:val="22"/>
        </w:rPr>
        <w:t>For the reviews completed, a 100% agreement rate has been achieved.  All agreed actions contained within the reviews completed</w:t>
      </w:r>
      <w:r w:rsidR="00897D74">
        <w:rPr>
          <w:rFonts w:asciiTheme="majorHAnsi" w:hAnsiTheme="majorHAnsi" w:cstheme="majorHAnsi"/>
          <w:b w:val="0"/>
          <w:bCs w:val="0"/>
          <w:sz w:val="22"/>
        </w:rPr>
        <w:t xml:space="preserve"> have been accepted and will followed up to ensure implementation and will be reported on at future meetings of the committee.   </w:t>
      </w:r>
    </w:p>
    <w:p w14:paraId="1A049ADF" w14:textId="1B629205" w:rsidR="00897D74" w:rsidRPr="00897D74" w:rsidRDefault="00897D74" w:rsidP="006571E3">
      <w:pPr>
        <w:pStyle w:val="Heading2"/>
        <w:numPr>
          <w:ilvl w:val="0"/>
          <w:numId w:val="21"/>
        </w:numPr>
        <w:rPr>
          <w:rFonts w:asciiTheme="majorHAnsi" w:hAnsiTheme="majorHAnsi" w:cstheme="majorHAnsi"/>
          <w:b w:val="0"/>
          <w:bCs w:val="0"/>
          <w:sz w:val="22"/>
        </w:rPr>
      </w:pPr>
      <w:r w:rsidRPr="00897D74">
        <w:rPr>
          <w:rFonts w:asciiTheme="majorHAnsi" w:hAnsiTheme="majorHAnsi" w:cstheme="majorHAnsi"/>
          <w:b w:val="0"/>
          <w:bCs w:val="0"/>
          <w:sz w:val="22"/>
        </w:rPr>
        <w:t>The Annual Governance Statement update report presented to the Governance Committee in March 21, contained the following</w:t>
      </w:r>
      <w:r w:rsidR="000010E3">
        <w:rPr>
          <w:rFonts w:asciiTheme="majorHAnsi" w:hAnsiTheme="majorHAnsi" w:cstheme="majorHAnsi"/>
          <w:b w:val="0"/>
          <w:bCs w:val="0"/>
          <w:sz w:val="22"/>
        </w:rPr>
        <w:t xml:space="preserve"> action</w:t>
      </w:r>
      <w:r w:rsidRPr="00897D74">
        <w:rPr>
          <w:rFonts w:asciiTheme="majorHAnsi" w:hAnsiTheme="majorHAnsi" w:cstheme="majorHAnsi"/>
          <w:b w:val="0"/>
          <w:bCs w:val="0"/>
          <w:sz w:val="22"/>
        </w:rPr>
        <w:t>:</w:t>
      </w:r>
    </w:p>
    <w:p w14:paraId="6B1B8685" w14:textId="4BBEEAA7" w:rsidR="00897D74" w:rsidRPr="000010E3" w:rsidRDefault="00897D74" w:rsidP="00897D74">
      <w:pPr>
        <w:autoSpaceDE w:val="0"/>
        <w:autoSpaceDN w:val="0"/>
        <w:adjustRightInd w:val="0"/>
        <w:rPr>
          <w:rFonts w:eastAsiaTheme="minorHAnsi" w:cs="Arial"/>
          <w:i/>
          <w:iCs/>
          <w:sz w:val="22"/>
          <w:szCs w:val="22"/>
        </w:rPr>
      </w:pPr>
      <w:r>
        <w:rPr>
          <w:rFonts w:eastAsiaTheme="minorHAnsi" w:cs="Arial"/>
          <w:b/>
          <w:bCs/>
          <w:sz w:val="22"/>
          <w:szCs w:val="22"/>
        </w:rPr>
        <w:tab/>
      </w:r>
      <w:r w:rsidRPr="000010E3">
        <w:rPr>
          <w:rFonts w:eastAsiaTheme="minorHAnsi" w:cs="Arial"/>
          <w:b/>
          <w:bCs/>
          <w:i/>
          <w:iCs/>
          <w:sz w:val="22"/>
          <w:szCs w:val="22"/>
        </w:rPr>
        <w:t xml:space="preserve">Agree an approach to monitoring and managing the implementation of </w:t>
      </w:r>
      <w:r w:rsidRPr="000010E3">
        <w:rPr>
          <w:rFonts w:eastAsiaTheme="minorHAnsi" w:cs="Arial"/>
          <w:b/>
          <w:bCs/>
          <w:i/>
          <w:iCs/>
          <w:sz w:val="22"/>
          <w:szCs w:val="22"/>
        </w:rPr>
        <w:tab/>
        <w:t xml:space="preserve">management actions agreed in internal audit reports - </w:t>
      </w:r>
      <w:r w:rsidRPr="000010E3">
        <w:rPr>
          <w:rFonts w:eastAsiaTheme="minorHAnsi" w:cs="Arial"/>
          <w:i/>
          <w:iCs/>
          <w:sz w:val="22"/>
          <w:szCs w:val="22"/>
        </w:rPr>
        <w:t xml:space="preserve">The consideration of this </w:t>
      </w:r>
      <w:r w:rsidRPr="000010E3">
        <w:rPr>
          <w:rFonts w:eastAsiaTheme="minorHAnsi" w:cs="Arial"/>
          <w:i/>
          <w:iCs/>
          <w:sz w:val="22"/>
          <w:szCs w:val="22"/>
        </w:rPr>
        <w:tab/>
        <w:t xml:space="preserve">action was deferred until after the appointment of the Service Lead for Audit and Risk </w:t>
      </w:r>
      <w:r w:rsidRPr="000010E3">
        <w:rPr>
          <w:rFonts w:eastAsiaTheme="minorHAnsi" w:cs="Arial"/>
          <w:i/>
          <w:iCs/>
          <w:sz w:val="22"/>
          <w:szCs w:val="22"/>
        </w:rPr>
        <w:tab/>
        <w:t xml:space="preserve">to enable them to lead on it. Internal Audit are currently identifying all agreed </w:t>
      </w:r>
      <w:r w:rsidRPr="000010E3">
        <w:rPr>
          <w:rFonts w:eastAsiaTheme="minorHAnsi" w:cs="Arial"/>
          <w:i/>
          <w:iCs/>
          <w:sz w:val="22"/>
          <w:szCs w:val="22"/>
        </w:rPr>
        <w:tab/>
        <w:t xml:space="preserve">management actions which remain outstanding. </w:t>
      </w:r>
    </w:p>
    <w:p w14:paraId="763CE02E" w14:textId="18714AE9" w:rsidR="00897D74" w:rsidRDefault="00897D74" w:rsidP="00897D74">
      <w:pPr>
        <w:autoSpaceDE w:val="0"/>
        <w:autoSpaceDN w:val="0"/>
        <w:adjustRightInd w:val="0"/>
        <w:rPr>
          <w:rFonts w:eastAsiaTheme="minorHAnsi" w:cs="Arial"/>
          <w:sz w:val="22"/>
          <w:szCs w:val="22"/>
        </w:rPr>
      </w:pPr>
    </w:p>
    <w:p w14:paraId="4D538C68" w14:textId="22027F07" w:rsidR="00897D74" w:rsidRDefault="00291557" w:rsidP="006571E3">
      <w:pPr>
        <w:pStyle w:val="ListParagraph"/>
        <w:numPr>
          <w:ilvl w:val="0"/>
          <w:numId w:val="21"/>
        </w:numPr>
        <w:autoSpaceDE w:val="0"/>
        <w:autoSpaceDN w:val="0"/>
        <w:adjustRightInd w:val="0"/>
        <w:rPr>
          <w:rFonts w:asciiTheme="majorHAnsi" w:hAnsiTheme="majorHAnsi" w:cstheme="majorHAnsi"/>
          <w:sz w:val="22"/>
        </w:rPr>
      </w:pPr>
      <w:r>
        <w:rPr>
          <w:rFonts w:asciiTheme="majorHAnsi" w:hAnsiTheme="majorHAnsi" w:cstheme="majorHAnsi"/>
          <w:sz w:val="22"/>
        </w:rPr>
        <w:t>Since February 2021, we have been working with Directors to establish the status of each outstanding action.  The table below shows the current position:</w:t>
      </w:r>
    </w:p>
    <w:tbl>
      <w:tblPr>
        <w:tblStyle w:val="TableGrid"/>
        <w:tblW w:w="8363" w:type="dxa"/>
        <w:tblInd w:w="704" w:type="dxa"/>
        <w:tblLook w:val="04A0" w:firstRow="1" w:lastRow="0" w:firstColumn="1" w:lastColumn="0" w:noHBand="0" w:noVBand="1"/>
      </w:tblPr>
      <w:tblGrid>
        <w:gridCol w:w="2126"/>
        <w:gridCol w:w="1843"/>
        <w:gridCol w:w="2126"/>
        <w:gridCol w:w="2268"/>
      </w:tblGrid>
      <w:tr w:rsidR="000010E3" w14:paraId="4D0DAAC1" w14:textId="77777777" w:rsidTr="000010E3">
        <w:tc>
          <w:tcPr>
            <w:tcW w:w="2126" w:type="dxa"/>
            <w:shd w:val="clear" w:color="auto" w:fill="C6D9F1" w:themeFill="text2" w:themeFillTint="33"/>
          </w:tcPr>
          <w:p w14:paraId="3538AA75" w14:textId="10B02442" w:rsidR="000010E3" w:rsidRPr="000010E3" w:rsidRDefault="000010E3" w:rsidP="00291557">
            <w:pPr>
              <w:autoSpaceDE w:val="0"/>
              <w:autoSpaceDN w:val="0"/>
              <w:adjustRightInd w:val="0"/>
              <w:rPr>
                <w:rFonts w:asciiTheme="majorHAnsi" w:hAnsiTheme="majorHAnsi" w:cstheme="majorHAnsi"/>
                <w:b/>
                <w:bCs/>
                <w:sz w:val="22"/>
              </w:rPr>
            </w:pPr>
            <w:r w:rsidRPr="000010E3">
              <w:rPr>
                <w:rFonts w:asciiTheme="majorHAnsi" w:hAnsiTheme="majorHAnsi" w:cstheme="majorHAnsi"/>
                <w:b/>
                <w:bCs/>
                <w:sz w:val="22"/>
              </w:rPr>
              <w:t>Number of actions outstanding as at Feb 2021</w:t>
            </w:r>
          </w:p>
        </w:tc>
        <w:tc>
          <w:tcPr>
            <w:tcW w:w="1843" w:type="dxa"/>
            <w:shd w:val="clear" w:color="auto" w:fill="C6D9F1" w:themeFill="text2" w:themeFillTint="33"/>
          </w:tcPr>
          <w:p w14:paraId="59F00A44" w14:textId="579CB14D" w:rsidR="000010E3" w:rsidRPr="000010E3" w:rsidRDefault="000010E3" w:rsidP="00291557">
            <w:pPr>
              <w:autoSpaceDE w:val="0"/>
              <w:autoSpaceDN w:val="0"/>
              <w:adjustRightInd w:val="0"/>
              <w:rPr>
                <w:rFonts w:asciiTheme="majorHAnsi" w:hAnsiTheme="majorHAnsi" w:cstheme="majorHAnsi"/>
                <w:b/>
                <w:bCs/>
                <w:sz w:val="22"/>
              </w:rPr>
            </w:pPr>
            <w:r w:rsidRPr="000010E3">
              <w:rPr>
                <w:rFonts w:asciiTheme="majorHAnsi" w:hAnsiTheme="majorHAnsi" w:cstheme="majorHAnsi"/>
                <w:b/>
                <w:bCs/>
                <w:sz w:val="22"/>
              </w:rPr>
              <w:t>Number of actions fully implemented</w:t>
            </w:r>
          </w:p>
        </w:tc>
        <w:tc>
          <w:tcPr>
            <w:tcW w:w="2126" w:type="dxa"/>
            <w:shd w:val="clear" w:color="auto" w:fill="C6D9F1" w:themeFill="text2" w:themeFillTint="33"/>
          </w:tcPr>
          <w:p w14:paraId="68C6C2A5" w14:textId="60FDFD8D" w:rsidR="000010E3" w:rsidRPr="000010E3" w:rsidRDefault="000010E3" w:rsidP="00291557">
            <w:pPr>
              <w:autoSpaceDE w:val="0"/>
              <w:autoSpaceDN w:val="0"/>
              <w:adjustRightInd w:val="0"/>
              <w:rPr>
                <w:rFonts w:asciiTheme="majorHAnsi" w:hAnsiTheme="majorHAnsi" w:cstheme="majorHAnsi"/>
                <w:b/>
                <w:bCs/>
                <w:sz w:val="22"/>
              </w:rPr>
            </w:pPr>
            <w:r w:rsidRPr="000010E3">
              <w:rPr>
                <w:rFonts w:asciiTheme="majorHAnsi" w:hAnsiTheme="majorHAnsi" w:cstheme="majorHAnsi"/>
                <w:b/>
                <w:bCs/>
                <w:sz w:val="22"/>
              </w:rPr>
              <w:t>Number of actions in progress or revised dates agreed</w:t>
            </w:r>
          </w:p>
        </w:tc>
        <w:tc>
          <w:tcPr>
            <w:tcW w:w="2268" w:type="dxa"/>
            <w:shd w:val="clear" w:color="auto" w:fill="C6D9F1" w:themeFill="text2" w:themeFillTint="33"/>
          </w:tcPr>
          <w:p w14:paraId="2C261C05" w14:textId="2EA0DE3F" w:rsidR="000010E3" w:rsidRPr="000010E3" w:rsidRDefault="009F7115" w:rsidP="00291557">
            <w:pPr>
              <w:autoSpaceDE w:val="0"/>
              <w:autoSpaceDN w:val="0"/>
              <w:adjustRightInd w:val="0"/>
              <w:rPr>
                <w:rFonts w:asciiTheme="majorHAnsi" w:hAnsiTheme="majorHAnsi" w:cstheme="majorHAnsi"/>
                <w:b/>
                <w:bCs/>
                <w:sz w:val="22"/>
              </w:rPr>
            </w:pPr>
            <w:r>
              <w:rPr>
                <w:rFonts w:asciiTheme="majorHAnsi" w:hAnsiTheme="majorHAnsi" w:cstheme="majorHAnsi"/>
                <w:b/>
                <w:bCs/>
                <w:sz w:val="22"/>
              </w:rPr>
              <w:t>Percentage</w:t>
            </w:r>
            <w:r w:rsidR="000010E3" w:rsidRPr="000010E3">
              <w:rPr>
                <w:rFonts w:asciiTheme="majorHAnsi" w:hAnsiTheme="majorHAnsi" w:cstheme="majorHAnsi"/>
                <w:b/>
                <w:bCs/>
                <w:sz w:val="22"/>
              </w:rPr>
              <w:t xml:space="preserve"> implementation rate</w:t>
            </w:r>
          </w:p>
        </w:tc>
      </w:tr>
      <w:tr w:rsidR="000010E3" w14:paraId="490B7E20" w14:textId="77777777" w:rsidTr="000010E3">
        <w:tc>
          <w:tcPr>
            <w:tcW w:w="2126" w:type="dxa"/>
          </w:tcPr>
          <w:p w14:paraId="205C9E22" w14:textId="01DDA961" w:rsidR="000010E3" w:rsidRDefault="000010E3" w:rsidP="00291557">
            <w:pPr>
              <w:autoSpaceDE w:val="0"/>
              <w:autoSpaceDN w:val="0"/>
              <w:adjustRightInd w:val="0"/>
              <w:rPr>
                <w:rFonts w:asciiTheme="majorHAnsi" w:hAnsiTheme="majorHAnsi" w:cstheme="majorHAnsi"/>
                <w:sz w:val="22"/>
              </w:rPr>
            </w:pPr>
            <w:r>
              <w:rPr>
                <w:rFonts w:asciiTheme="majorHAnsi" w:hAnsiTheme="majorHAnsi" w:cstheme="majorHAnsi"/>
                <w:sz w:val="22"/>
              </w:rPr>
              <w:t>135</w:t>
            </w:r>
          </w:p>
        </w:tc>
        <w:tc>
          <w:tcPr>
            <w:tcW w:w="1843" w:type="dxa"/>
          </w:tcPr>
          <w:p w14:paraId="1C2B4709" w14:textId="3222C266" w:rsidR="000010E3" w:rsidRDefault="000010E3" w:rsidP="00291557">
            <w:pPr>
              <w:autoSpaceDE w:val="0"/>
              <w:autoSpaceDN w:val="0"/>
              <w:adjustRightInd w:val="0"/>
              <w:rPr>
                <w:rFonts w:asciiTheme="majorHAnsi" w:hAnsiTheme="majorHAnsi" w:cstheme="majorHAnsi"/>
                <w:sz w:val="22"/>
              </w:rPr>
            </w:pPr>
            <w:r>
              <w:rPr>
                <w:rFonts w:asciiTheme="majorHAnsi" w:hAnsiTheme="majorHAnsi" w:cstheme="majorHAnsi"/>
                <w:sz w:val="22"/>
              </w:rPr>
              <w:t>94</w:t>
            </w:r>
          </w:p>
        </w:tc>
        <w:tc>
          <w:tcPr>
            <w:tcW w:w="2126" w:type="dxa"/>
          </w:tcPr>
          <w:p w14:paraId="4350DF17" w14:textId="63B0491D" w:rsidR="000010E3" w:rsidRDefault="000010E3" w:rsidP="00291557">
            <w:pPr>
              <w:autoSpaceDE w:val="0"/>
              <w:autoSpaceDN w:val="0"/>
              <w:adjustRightInd w:val="0"/>
              <w:rPr>
                <w:rFonts w:asciiTheme="majorHAnsi" w:hAnsiTheme="majorHAnsi" w:cstheme="majorHAnsi"/>
                <w:sz w:val="22"/>
              </w:rPr>
            </w:pPr>
            <w:r>
              <w:rPr>
                <w:rFonts w:asciiTheme="majorHAnsi" w:hAnsiTheme="majorHAnsi" w:cstheme="majorHAnsi"/>
                <w:sz w:val="22"/>
              </w:rPr>
              <w:t>41</w:t>
            </w:r>
          </w:p>
        </w:tc>
        <w:tc>
          <w:tcPr>
            <w:tcW w:w="2268" w:type="dxa"/>
          </w:tcPr>
          <w:p w14:paraId="108B3F63" w14:textId="1CBEF0ED" w:rsidR="000010E3" w:rsidRDefault="000010E3" w:rsidP="00291557">
            <w:pPr>
              <w:autoSpaceDE w:val="0"/>
              <w:autoSpaceDN w:val="0"/>
              <w:adjustRightInd w:val="0"/>
              <w:rPr>
                <w:rFonts w:asciiTheme="majorHAnsi" w:hAnsiTheme="majorHAnsi" w:cstheme="majorHAnsi"/>
                <w:sz w:val="22"/>
              </w:rPr>
            </w:pPr>
            <w:r>
              <w:rPr>
                <w:rFonts w:asciiTheme="majorHAnsi" w:hAnsiTheme="majorHAnsi" w:cstheme="majorHAnsi"/>
                <w:sz w:val="22"/>
              </w:rPr>
              <w:t>70%</w:t>
            </w:r>
          </w:p>
        </w:tc>
      </w:tr>
    </w:tbl>
    <w:p w14:paraId="54CFECD5" w14:textId="2F8882FD" w:rsidR="00291557" w:rsidRDefault="00291557" w:rsidP="00291557">
      <w:pPr>
        <w:autoSpaceDE w:val="0"/>
        <w:autoSpaceDN w:val="0"/>
        <w:adjustRightInd w:val="0"/>
        <w:rPr>
          <w:rFonts w:asciiTheme="majorHAnsi" w:hAnsiTheme="majorHAnsi" w:cstheme="majorHAnsi"/>
          <w:sz w:val="22"/>
        </w:rPr>
      </w:pPr>
    </w:p>
    <w:p w14:paraId="2315EE17" w14:textId="005FEC3A" w:rsidR="000010E3" w:rsidRPr="000010E3" w:rsidRDefault="000010E3" w:rsidP="000010E3">
      <w:pPr>
        <w:pStyle w:val="ListParagraph"/>
        <w:numPr>
          <w:ilvl w:val="0"/>
          <w:numId w:val="21"/>
        </w:numPr>
        <w:autoSpaceDE w:val="0"/>
        <w:autoSpaceDN w:val="0"/>
        <w:adjustRightInd w:val="0"/>
        <w:rPr>
          <w:rFonts w:asciiTheme="majorHAnsi" w:hAnsiTheme="majorHAnsi" w:cstheme="majorHAnsi"/>
          <w:sz w:val="22"/>
        </w:rPr>
      </w:pPr>
      <w:r>
        <w:rPr>
          <w:rFonts w:asciiTheme="majorHAnsi" w:hAnsiTheme="majorHAnsi" w:cstheme="majorHAnsi"/>
          <w:sz w:val="22"/>
        </w:rPr>
        <w:t>All remaining outstanding actions will be recorded on GRACE which will allow for a systematic reporting regime to be introduced which will include monthly monitoring by the Corporate Governance Group and reports to Directors / Service Leads.</w:t>
      </w:r>
    </w:p>
    <w:p w14:paraId="0CD81FEC" w14:textId="56F06567" w:rsidR="00B56DDE" w:rsidRDefault="008103BA" w:rsidP="008103BA">
      <w:pPr>
        <w:pStyle w:val="Heading2"/>
        <w:ind w:left="720" w:hanging="720"/>
        <w:rPr>
          <w:rFonts w:asciiTheme="majorHAnsi" w:hAnsiTheme="majorHAnsi" w:cstheme="majorHAnsi"/>
          <w:sz w:val="22"/>
        </w:rPr>
      </w:pPr>
      <w:r w:rsidRPr="008103BA">
        <w:rPr>
          <w:rFonts w:asciiTheme="majorHAnsi" w:hAnsiTheme="majorHAnsi" w:cstheme="majorHAnsi"/>
          <w:sz w:val="22"/>
        </w:rPr>
        <w:t>Head of Audit Opinion</w:t>
      </w:r>
    </w:p>
    <w:p w14:paraId="10E5889D" w14:textId="3F338926" w:rsidR="00E8742E" w:rsidRPr="00D435E5" w:rsidRDefault="008103BA" w:rsidP="006571E3">
      <w:pPr>
        <w:pStyle w:val="Heading2"/>
        <w:numPr>
          <w:ilvl w:val="0"/>
          <w:numId w:val="21"/>
        </w:numPr>
        <w:rPr>
          <w:rFonts w:asciiTheme="majorHAnsi" w:hAnsiTheme="majorHAnsi" w:cstheme="majorHAnsi"/>
          <w:sz w:val="22"/>
        </w:rPr>
      </w:pPr>
      <w:r w:rsidRPr="00E8742E">
        <w:rPr>
          <w:rFonts w:asciiTheme="majorHAnsi" w:hAnsiTheme="majorHAnsi" w:cstheme="majorHAnsi"/>
          <w:b w:val="0"/>
          <w:bCs w:val="0"/>
          <w:sz w:val="22"/>
        </w:rPr>
        <w:t>The Public Sector Internal Audit Standards require the Head of Audit to provide an opinion on the overall adequacy and effectiveness of the organisation</w:t>
      </w:r>
      <w:r w:rsidR="00E8742E" w:rsidRPr="00E8742E">
        <w:rPr>
          <w:rFonts w:asciiTheme="majorHAnsi" w:hAnsiTheme="majorHAnsi" w:cstheme="majorHAnsi"/>
          <w:b w:val="0"/>
          <w:bCs w:val="0"/>
          <w:sz w:val="22"/>
        </w:rPr>
        <w:t xml:space="preserve">’s framework of control, risk management and governance.  </w:t>
      </w:r>
      <w:r w:rsidR="007A4CDA">
        <w:rPr>
          <w:rFonts w:asciiTheme="majorHAnsi" w:hAnsiTheme="majorHAnsi" w:cstheme="majorHAnsi"/>
          <w:b w:val="0"/>
          <w:bCs w:val="0"/>
          <w:sz w:val="22"/>
        </w:rPr>
        <w:t xml:space="preserve">Members may recall </w:t>
      </w:r>
      <w:r w:rsidR="00D435E5">
        <w:rPr>
          <w:rFonts w:asciiTheme="majorHAnsi" w:hAnsiTheme="majorHAnsi" w:cstheme="majorHAnsi"/>
          <w:b w:val="0"/>
          <w:bCs w:val="0"/>
          <w:sz w:val="22"/>
        </w:rPr>
        <w:t>that CIPFA</w:t>
      </w:r>
      <w:r w:rsidR="007A4CDA">
        <w:rPr>
          <w:rFonts w:asciiTheme="majorHAnsi" w:hAnsiTheme="majorHAnsi" w:cstheme="majorHAnsi"/>
          <w:b w:val="0"/>
          <w:bCs w:val="0"/>
          <w:sz w:val="22"/>
        </w:rPr>
        <w:t xml:space="preserve">  issued guidance relating to the opinion </w:t>
      </w:r>
      <w:r w:rsidR="00D435E5">
        <w:rPr>
          <w:rFonts w:asciiTheme="majorHAnsi" w:hAnsiTheme="majorHAnsi" w:cstheme="majorHAnsi"/>
          <w:b w:val="0"/>
          <w:bCs w:val="0"/>
          <w:sz w:val="22"/>
        </w:rPr>
        <w:t xml:space="preserve">and that a </w:t>
      </w:r>
      <w:r w:rsidR="007A4CDA">
        <w:rPr>
          <w:rFonts w:asciiTheme="majorHAnsi" w:hAnsiTheme="majorHAnsi" w:cstheme="majorHAnsi"/>
          <w:b w:val="0"/>
          <w:bCs w:val="0"/>
          <w:sz w:val="22"/>
        </w:rPr>
        <w:t xml:space="preserve">limitation of scope </w:t>
      </w:r>
      <w:r w:rsidR="00D435E5">
        <w:rPr>
          <w:rFonts w:asciiTheme="majorHAnsi" w:hAnsiTheme="majorHAnsi" w:cstheme="majorHAnsi"/>
          <w:b w:val="0"/>
          <w:bCs w:val="0"/>
          <w:sz w:val="22"/>
        </w:rPr>
        <w:t xml:space="preserve">may be applicable </w:t>
      </w:r>
      <w:r w:rsidR="007A4CDA">
        <w:rPr>
          <w:rFonts w:asciiTheme="majorHAnsi" w:hAnsiTheme="majorHAnsi" w:cstheme="majorHAnsi"/>
          <w:b w:val="0"/>
          <w:bCs w:val="0"/>
          <w:sz w:val="22"/>
        </w:rPr>
        <w:t>due to the impact that COVID</w:t>
      </w:r>
      <w:r w:rsidR="00D435E5">
        <w:rPr>
          <w:rFonts w:asciiTheme="majorHAnsi" w:hAnsiTheme="majorHAnsi" w:cstheme="majorHAnsi"/>
          <w:b w:val="0"/>
          <w:bCs w:val="0"/>
          <w:sz w:val="22"/>
        </w:rPr>
        <w:t xml:space="preserve">. </w:t>
      </w:r>
    </w:p>
    <w:p w14:paraId="47CEACFF" w14:textId="77777777" w:rsidR="00D435E5" w:rsidRPr="000010E3" w:rsidRDefault="00D435E5" w:rsidP="00D435E5">
      <w:pPr>
        <w:pStyle w:val="Heading2"/>
        <w:rPr>
          <w:rFonts w:asciiTheme="majorHAnsi" w:hAnsiTheme="majorHAnsi" w:cstheme="majorHAnsi"/>
          <w:sz w:val="22"/>
        </w:rPr>
      </w:pPr>
    </w:p>
    <w:p w14:paraId="6352D6A6" w14:textId="322AED1C" w:rsidR="00E8742E" w:rsidRDefault="00E8742E" w:rsidP="000010E3">
      <w:pPr>
        <w:pStyle w:val="Default"/>
        <w:numPr>
          <w:ilvl w:val="0"/>
          <w:numId w:val="22"/>
        </w:numPr>
        <w:rPr>
          <w:sz w:val="22"/>
          <w:szCs w:val="22"/>
        </w:rPr>
      </w:pPr>
      <w:r w:rsidRPr="00E8742E">
        <w:rPr>
          <w:rFonts w:asciiTheme="majorHAnsi" w:hAnsiTheme="majorHAnsi" w:cstheme="majorHAnsi"/>
          <w:sz w:val="22"/>
          <w:szCs w:val="22"/>
        </w:rPr>
        <w:lastRenderedPageBreak/>
        <w:t xml:space="preserve">It has been reported to members over the course of 2020 that the </w:t>
      </w:r>
      <w:r w:rsidRPr="00E8742E">
        <w:rPr>
          <w:sz w:val="22"/>
          <w:szCs w:val="22"/>
        </w:rPr>
        <w:t xml:space="preserve">impact of COVID-19 on the Internal Audit Service has been considerable and as can been seen in the table at paragraph 8, the results of the work carried out by internal audit, taken together with other sources of assurance, </w:t>
      </w:r>
      <w:r w:rsidRPr="007A4CDA">
        <w:rPr>
          <w:sz w:val="22"/>
          <w:szCs w:val="22"/>
        </w:rPr>
        <w:t xml:space="preserve">are </w:t>
      </w:r>
      <w:r w:rsidRPr="007A4CDA">
        <w:rPr>
          <w:color w:val="auto"/>
          <w:sz w:val="22"/>
          <w:szCs w:val="22"/>
        </w:rPr>
        <w:t>not sufficient</w:t>
      </w:r>
      <w:r w:rsidRPr="007A4CDA">
        <w:rPr>
          <w:b/>
          <w:bCs/>
          <w:color w:val="auto"/>
          <w:sz w:val="22"/>
          <w:szCs w:val="22"/>
        </w:rPr>
        <w:t xml:space="preserve"> </w:t>
      </w:r>
      <w:r w:rsidRPr="00E8742E">
        <w:rPr>
          <w:sz w:val="22"/>
          <w:szCs w:val="22"/>
        </w:rPr>
        <w:t xml:space="preserve">to support an annual opinion on the overall adequacy and effectiveness of the organisation’s framework of </w:t>
      </w:r>
      <w:r w:rsidRPr="007A4CDA">
        <w:rPr>
          <w:b/>
          <w:bCs/>
          <w:sz w:val="22"/>
          <w:szCs w:val="22"/>
        </w:rPr>
        <w:t>control.</w:t>
      </w:r>
      <w:r w:rsidRPr="00E8742E">
        <w:rPr>
          <w:sz w:val="22"/>
          <w:szCs w:val="22"/>
        </w:rPr>
        <w:t xml:space="preserve">   </w:t>
      </w:r>
    </w:p>
    <w:p w14:paraId="38218D2E" w14:textId="77777777" w:rsidR="00E8742E" w:rsidRPr="00E8742E" w:rsidRDefault="00E8742E" w:rsidP="00E8742E">
      <w:pPr>
        <w:pStyle w:val="Default"/>
        <w:rPr>
          <w:sz w:val="22"/>
          <w:szCs w:val="22"/>
        </w:rPr>
      </w:pPr>
    </w:p>
    <w:p w14:paraId="148876B3" w14:textId="782BFB4B" w:rsidR="008103BA" w:rsidRDefault="00E8742E" w:rsidP="000010E3">
      <w:pPr>
        <w:pStyle w:val="Default"/>
        <w:numPr>
          <w:ilvl w:val="0"/>
          <w:numId w:val="22"/>
        </w:numPr>
        <w:rPr>
          <w:rFonts w:asciiTheme="majorHAnsi" w:hAnsiTheme="majorHAnsi" w:cstheme="majorHAnsi"/>
          <w:sz w:val="22"/>
          <w:szCs w:val="22"/>
        </w:rPr>
      </w:pPr>
      <w:r>
        <w:rPr>
          <w:rFonts w:asciiTheme="majorHAnsi" w:hAnsiTheme="majorHAnsi" w:cstheme="majorHAnsi"/>
          <w:sz w:val="22"/>
          <w:szCs w:val="22"/>
        </w:rPr>
        <w:t xml:space="preserve">It is however, possible to provide an opinion on the overall adequacy and effectiveness of the organisations framework of </w:t>
      </w:r>
      <w:r w:rsidRPr="007A4CDA">
        <w:rPr>
          <w:rFonts w:asciiTheme="majorHAnsi" w:hAnsiTheme="majorHAnsi" w:cstheme="majorHAnsi"/>
          <w:b/>
          <w:bCs/>
          <w:sz w:val="22"/>
          <w:szCs w:val="22"/>
        </w:rPr>
        <w:t>risk management and governance</w:t>
      </w:r>
      <w:r>
        <w:rPr>
          <w:rFonts w:asciiTheme="majorHAnsi" w:hAnsiTheme="majorHAnsi" w:cstheme="majorHAnsi"/>
          <w:sz w:val="22"/>
          <w:szCs w:val="22"/>
        </w:rPr>
        <w:t xml:space="preserve"> and I can confirm that t</w:t>
      </w:r>
      <w:r w:rsidR="00E4205A">
        <w:rPr>
          <w:rFonts w:asciiTheme="majorHAnsi" w:hAnsiTheme="majorHAnsi" w:cstheme="majorHAnsi"/>
          <w:sz w:val="22"/>
          <w:szCs w:val="22"/>
        </w:rPr>
        <w:t xml:space="preserve">he arrangements are of an </w:t>
      </w:r>
      <w:r w:rsidR="00E4205A" w:rsidRPr="00E4205A">
        <w:rPr>
          <w:rFonts w:asciiTheme="majorHAnsi" w:hAnsiTheme="majorHAnsi" w:cstheme="majorHAnsi"/>
          <w:b/>
          <w:bCs/>
          <w:sz w:val="22"/>
          <w:szCs w:val="22"/>
        </w:rPr>
        <w:t>adequate</w:t>
      </w:r>
      <w:r w:rsidR="00E4205A">
        <w:rPr>
          <w:rFonts w:asciiTheme="majorHAnsi" w:hAnsiTheme="majorHAnsi" w:cstheme="majorHAnsi"/>
          <w:sz w:val="22"/>
          <w:szCs w:val="22"/>
        </w:rPr>
        <w:t xml:space="preserve"> standard</w:t>
      </w:r>
      <w:r w:rsidR="002F7F28">
        <w:rPr>
          <w:rFonts w:asciiTheme="majorHAnsi" w:hAnsiTheme="majorHAnsi" w:cstheme="majorHAnsi"/>
          <w:sz w:val="22"/>
          <w:szCs w:val="22"/>
        </w:rPr>
        <w:t xml:space="preserve">. </w:t>
      </w:r>
    </w:p>
    <w:p w14:paraId="44E08C83" w14:textId="77777777" w:rsidR="00E4205A" w:rsidRDefault="00E4205A" w:rsidP="00E4205A">
      <w:pPr>
        <w:pStyle w:val="ListParagraph"/>
        <w:rPr>
          <w:rFonts w:asciiTheme="majorHAnsi" w:hAnsiTheme="majorHAnsi" w:cstheme="majorHAnsi"/>
          <w:sz w:val="22"/>
          <w:szCs w:val="22"/>
        </w:rPr>
      </w:pPr>
    </w:p>
    <w:p w14:paraId="1FC78907" w14:textId="4E292742" w:rsidR="00E4205A" w:rsidRDefault="005532C2" w:rsidP="000010E3">
      <w:pPr>
        <w:pStyle w:val="Default"/>
        <w:numPr>
          <w:ilvl w:val="0"/>
          <w:numId w:val="22"/>
        </w:numPr>
        <w:rPr>
          <w:rFonts w:asciiTheme="majorHAnsi" w:hAnsiTheme="majorHAnsi" w:cstheme="majorHAnsi"/>
          <w:sz w:val="22"/>
          <w:szCs w:val="22"/>
        </w:rPr>
      </w:pPr>
      <w:r>
        <w:rPr>
          <w:rFonts w:asciiTheme="majorHAnsi" w:hAnsiTheme="majorHAnsi" w:cstheme="majorHAnsi"/>
          <w:sz w:val="22"/>
          <w:szCs w:val="22"/>
        </w:rPr>
        <w:t>O</w:t>
      </w:r>
      <w:r w:rsidR="00E4205A">
        <w:rPr>
          <w:rFonts w:asciiTheme="majorHAnsi" w:hAnsiTheme="majorHAnsi" w:cstheme="majorHAnsi"/>
          <w:sz w:val="22"/>
          <w:szCs w:val="22"/>
        </w:rPr>
        <w:t>ver the past 12 months, a significant amount of work has been undertaken to introduce</w:t>
      </w:r>
      <w:r w:rsidR="008837F5">
        <w:rPr>
          <w:rFonts w:asciiTheme="majorHAnsi" w:hAnsiTheme="majorHAnsi" w:cstheme="majorHAnsi"/>
          <w:sz w:val="22"/>
          <w:szCs w:val="22"/>
        </w:rPr>
        <w:t xml:space="preserve"> and </w:t>
      </w:r>
      <w:r w:rsidR="00E4205A">
        <w:rPr>
          <w:rFonts w:asciiTheme="majorHAnsi" w:hAnsiTheme="majorHAnsi" w:cstheme="majorHAnsi"/>
          <w:sz w:val="22"/>
          <w:szCs w:val="22"/>
        </w:rPr>
        <w:t>strengthen the governance and risk management arrangements throughout th</w:t>
      </w:r>
      <w:r w:rsidR="007D4027">
        <w:rPr>
          <w:rFonts w:asciiTheme="majorHAnsi" w:hAnsiTheme="majorHAnsi" w:cstheme="majorHAnsi"/>
          <w:sz w:val="22"/>
          <w:szCs w:val="22"/>
        </w:rPr>
        <w:t>e whole council and this is clearly eviden</w:t>
      </w:r>
      <w:r w:rsidR="002F7F28">
        <w:rPr>
          <w:rFonts w:asciiTheme="majorHAnsi" w:hAnsiTheme="majorHAnsi" w:cstheme="majorHAnsi"/>
          <w:sz w:val="22"/>
          <w:szCs w:val="22"/>
        </w:rPr>
        <w:t>ced</w:t>
      </w:r>
      <w:r w:rsidR="007D4027">
        <w:rPr>
          <w:rFonts w:asciiTheme="majorHAnsi" w:hAnsiTheme="majorHAnsi" w:cstheme="majorHAnsi"/>
          <w:sz w:val="22"/>
          <w:szCs w:val="22"/>
        </w:rPr>
        <w:t xml:space="preserve"> within the Local Code of Governance.</w:t>
      </w:r>
      <w:r>
        <w:rPr>
          <w:rFonts w:asciiTheme="majorHAnsi" w:hAnsiTheme="majorHAnsi" w:cstheme="majorHAnsi"/>
          <w:sz w:val="22"/>
          <w:szCs w:val="22"/>
        </w:rPr>
        <w:t xml:space="preserve">  The work undertaken by Internal Audit to support the compilation of the Annual Governance Statement </w:t>
      </w:r>
      <w:r w:rsidR="00241A8F">
        <w:rPr>
          <w:rFonts w:asciiTheme="majorHAnsi" w:hAnsiTheme="majorHAnsi" w:cstheme="majorHAnsi"/>
          <w:sz w:val="22"/>
          <w:szCs w:val="22"/>
        </w:rPr>
        <w:t>A</w:t>
      </w:r>
      <w:r>
        <w:rPr>
          <w:rFonts w:asciiTheme="majorHAnsi" w:hAnsiTheme="majorHAnsi" w:cstheme="majorHAnsi"/>
          <w:sz w:val="22"/>
          <w:szCs w:val="22"/>
        </w:rPr>
        <w:t xml:space="preserve">ction </w:t>
      </w:r>
      <w:r w:rsidR="00241A8F">
        <w:rPr>
          <w:rFonts w:asciiTheme="majorHAnsi" w:hAnsiTheme="majorHAnsi" w:cstheme="majorHAnsi"/>
          <w:sz w:val="22"/>
          <w:szCs w:val="22"/>
        </w:rPr>
        <w:t>P</w:t>
      </w:r>
      <w:r>
        <w:rPr>
          <w:rFonts w:asciiTheme="majorHAnsi" w:hAnsiTheme="majorHAnsi" w:cstheme="majorHAnsi"/>
          <w:sz w:val="22"/>
          <w:szCs w:val="22"/>
        </w:rPr>
        <w:t xml:space="preserve">lan confirms that the framework of governance policies </w:t>
      </w:r>
      <w:r w:rsidR="00D435E5">
        <w:rPr>
          <w:rFonts w:asciiTheme="majorHAnsi" w:hAnsiTheme="majorHAnsi" w:cstheme="majorHAnsi"/>
          <w:sz w:val="22"/>
          <w:szCs w:val="22"/>
        </w:rPr>
        <w:t>is</w:t>
      </w:r>
      <w:r>
        <w:rPr>
          <w:rFonts w:asciiTheme="majorHAnsi" w:hAnsiTheme="majorHAnsi" w:cstheme="majorHAnsi"/>
          <w:sz w:val="22"/>
          <w:szCs w:val="22"/>
        </w:rPr>
        <w:t xml:space="preserve"> now in place however there is further work to do to ensure that these are </w:t>
      </w:r>
      <w:r w:rsidR="002F7F28">
        <w:rPr>
          <w:rFonts w:asciiTheme="majorHAnsi" w:hAnsiTheme="majorHAnsi" w:cstheme="majorHAnsi"/>
          <w:sz w:val="22"/>
          <w:szCs w:val="22"/>
        </w:rPr>
        <w:t xml:space="preserve">fully </w:t>
      </w:r>
      <w:r>
        <w:rPr>
          <w:rFonts w:asciiTheme="majorHAnsi" w:hAnsiTheme="majorHAnsi" w:cstheme="majorHAnsi"/>
          <w:sz w:val="22"/>
          <w:szCs w:val="22"/>
        </w:rPr>
        <w:t>embedded.</w:t>
      </w:r>
    </w:p>
    <w:p w14:paraId="46D8054B" w14:textId="0E62FDCF" w:rsidR="005532C2" w:rsidRDefault="005532C2" w:rsidP="005532C2">
      <w:pPr>
        <w:pStyle w:val="ListParagraph"/>
        <w:rPr>
          <w:rFonts w:asciiTheme="majorHAnsi" w:hAnsiTheme="majorHAnsi" w:cstheme="majorHAnsi"/>
          <w:sz w:val="22"/>
          <w:szCs w:val="22"/>
        </w:rPr>
      </w:pPr>
    </w:p>
    <w:p w14:paraId="6A717191" w14:textId="6E2668C5" w:rsidR="002F7F28" w:rsidRDefault="00D63CD4" w:rsidP="000010E3">
      <w:pPr>
        <w:pStyle w:val="Default"/>
        <w:numPr>
          <w:ilvl w:val="0"/>
          <w:numId w:val="22"/>
        </w:numPr>
        <w:rPr>
          <w:rFonts w:asciiTheme="majorHAnsi" w:hAnsiTheme="majorHAnsi" w:cstheme="majorHAnsi"/>
          <w:sz w:val="22"/>
          <w:szCs w:val="22"/>
        </w:rPr>
      </w:pPr>
      <w:r>
        <w:rPr>
          <w:rFonts w:asciiTheme="majorHAnsi" w:hAnsiTheme="majorHAnsi" w:cstheme="majorHAnsi"/>
          <w:sz w:val="22"/>
          <w:szCs w:val="22"/>
        </w:rPr>
        <w:t>Although</w:t>
      </w:r>
      <w:r w:rsidR="002F7F28">
        <w:rPr>
          <w:rFonts w:asciiTheme="majorHAnsi" w:hAnsiTheme="majorHAnsi" w:cstheme="majorHAnsi"/>
          <w:sz w:val="22"/>
          <w:szCs w:val="22"/>
        </w:rPr>
        <w:t xml:space="preserve"> I am unable to form an opinion on the control environment of the Council, members can be assured of the following:</w:t>
      </w:r>
    </w:p>
    <w:p w14:paraId="1D1EADCE" w14:textId="4ADC3FFA" w:rsidR="002F7F28" w:rsidRDefault="002F7F28" w:rsidP="002F7F28">
      <w:pPr>
        <w:pStyle w:val="ListParagraph"/>
        <w:rPr>
          <w:rFonts w:asciiTheme="majorHAnsi" w:hAnsiTheme="majorHAnsi" w:cstheme="majorHAnsi"/>
          <w:sz w:val="22"/>
          <w:szCs w:val="22"/>
        </w:rPr>
      </w:pPr>
    </w:p>
    <w:p w14:paraId="2E282928" w14:textId="593CB3E9" w:rsidR="008837F5" w:rsidRDefault="002F7F28" w:rsidP="002F7F28">
      <w:pPr>
        <w:pStyle w:val="Default"/>
        <w:numPr>
          <w:ilvl w:val="0"/>
          <w:numId w:val="18"/>
        </w:numPr>
        <w:rPr>
          <w:rFonts w:asciiTheme="majorHAnsi" w:hAnsiTheme="majorHAnsi" w:cstheme="majorHAnsi"/>
          <w:sz w:val="22"/>
          <w:szCs w:val="22"/>
        </w:rPr>
      </w:pPr>
      <w:r>
        <w:rPr>
          <w:rFonts w:asciiTheme="majorHAnsi" w:hAnsiTheme="majorHAnsi" w:cstheme="majorHAnsi"/>
          <w:sz w:val="22"/>
          <w:szCs w:val="22"/>
        </w:rPr>
        <w:t>the work carried out during 2020-21 did not identify any control failures</w:t>
      </w:r>
      <w:r w:rsidR="008837F5">
        <w:rPr>
          <w:rFonts w:asciiTheme="majorHAnsi" w:hAnsiTheme="majorHAnsi" w:cstheme="majorHAnsi"/>
          <w:sz w:val="22"/>
          <w:szCs w:val="22"/>
        </w:rPr>
        <w:t xml:space="preserve"> that have not been previously reported to the Committee</w:t>
      </w:r>
      <w:r w:rsidR="00241A8F">
        <w:rPr>
          <w:rFonts w:asciiTheme="majorHAnsi" w:hAnsiTheme="majorHAnsi" w:cstheme="majorHAnsi"/>
          <w:sz w:val="22"/>
          <w:szCs w:val="22"/>
        </w:rPr>
        <w:t>;</w:t>
      </w:r>
    </w:p>
    <w:p w14:paraId="6B98D600" w14:textId="5F1B5C9D" w:rsidR="002F7F28" w:rsidRDefault="00D435E5" w:rsidP="002F7F28">
      <w:pPr>
        <w:pStyle w:val="Default"/>
        <w:numPr>
          <w:ilvl w:val="0"/>
          <w:numId w:val="18"/>
        </w:numPr>
        <w:rPr>
          <w:rFonts w:asciiTheme="majorHAnsi" w:hAnsiTheme="majorHAnsi" w:cstheme="majorHAnsi"/>
          <w:sz w:val="22"/>
          <w:szCs w:val="22"/>
        </w:rPr>
      </w:pPr>
      <w:r>
        <w:rPr>
          <w:rFonts w:asciiTheme="majorHAnsi" w:hAnsiTheme="majorHAnsi" w:cstheme="majorHAnsi"/>
          <w:sz w:val="22"/>
          <w:szCs w:val="22"/>
        </w:rPr>
        <w:t>r</w:t>
      </w:r>
      <w:r w:rsidR="008837F5">
        <w:rPr>
          <w:rFonts w:asciiTheme="majorHAnsi" w:hAnsiTheme="majorHAnsi" w:cstheme="majorHAnsi"/>
          <w:sz w:val="22"/>
          <w:szCs w:val="22"/>
        </w:rPr>
        <w:t>obust actions plans are in place for any legacy issues with actions owners assigned and implementation dates agreed</w:t>
      </w:r>
      <w:r w:rsidR="002F7F28">
        <w:rPr>
          <w:rFonts w:asciiTheme="majorHAnsi" w:hAnsiTheme="majorHAnsi" w:cstheme="majorHAnsi"/>
          <w:sz w:val="22"/>
          <w:szCs w:val="22"/>
        </w:rPr>
        <w:t>;</w:t>
      </w:r>
    </w:p>
    <w:p w14:paraId="65600D0F" w14:textId="02AFE8E4" w:rsidR="002F7F28" w:rsidRDefault="002F7F28" w:rsidP="002F7F28">
      <w:pPr>
        <w:pStyle w:val="Default"/>
        <w:numPr>
          <w:ilvl w:val="0"/>
          <w:numId w:val="18"/>
        </w:numPr>
        <w:rPr>
          <w:rFonts w:asciiTheme="majorHAnsi" w:hAnsiTheme="majorHAnsi" w:cstheme="majorHAnsi"/>
          <w:sz w:val="22"/>
          <w:szCs w:val="22"/>
        </w:rPr>
      </w:pPr>
      <w:r>
        <w:rPr>
          <w:rFonts w:asciiTheme="majorHAnsi" w:hAnsiTheme="majorHAnsi" w:cstheme="majorHAnsi"/>
          <w:sz w:val="22"/>
          <w:szCs w:val="22"/>
        </w:rPr>
        <w:t>advisory work has been undertaken on new processes introduced as a result of COVID 19</w:t>
      </w:r>
      <w:r w:rsidR="00241A8F">
        <w:rPr>
          <w:rFonts w:asciiTheme="majorHAnsi" w:hAnsiTheme="majorHAnsi" w:cstheme="majorHAnsi"/>
          <w:sz w:val="22"/>
          <w:szCs w:val="22"/>
        </w:rPr>
        <w:t>;</w:t>
      </w:r>
    </w:p>
    <w:p w14:paraId="1FF77C0D" w14:textId="028F4EFB" w:rsidR="00E4205A" w:rsidRDefault="00241A8F" w:rsidP="00B21316">
      <w:pPr>
        <w:pStyle w:val="Default"/>
        <w:numPr>
          <w:ilvl w:val="0"/>
          <w:numId w:val="18"/>
        </w:numPr>
        <w:rPr>
          <w:rFonts w:asciiTheme="majorHAnsi" w:hAnsiTheme="majorHAnsi" w:cstheme="majorHAnsi"/>
          <w:sz w:val="22"/>
          <w:szCs w:val="22"/>
        </w:rPr>
      </w:pPr>
      <w:r>
        <w:rPr>
          <w:rFonts w:asciiTheme="majorHAnsi" w:hAnsiTheme="majorHAnsi" w:cstheme="majorHAnsi"/>
          <w:sz w:val="22"/>
          <w:szCs w:val="22"/>
        </w:rPr>
        <w:t>d</w:t>
      </w:r>
      <w:r w:rsidR="00D63CD4" w:rsidRPr="00D63CD4">
        <w:rPr>
          <w:rFonts w:asciiTheme="majorHAnsi" w:hAnsiTheme="majorHAnsi" w:cstheme="majorHAnsi"/>
          <w:sz w:val="22"/>
          <w:szCs w:val="22"/>
        </w:rPr>
        <w:t xml:space="preserve">espite the </w:t>
      </w:r>
      <w:r w:rsidR="002F7F28" w:rsidRPr="00D63CD4">
        <w:rPr>
          <w:rFonts w:asciiTheme="majorHAnsi" w:hAnsiTheme="majorHAnsi" w:cstheme="majorHAnsi"/>
          <w:sz w:val="22"/>
          <w:szCs w:val="22"/>
        </w:rPr>
        <w:t>lack of a systematic monitoring process for the implementation of agreed management actions emanating from Internal Audit Reports, a large proportion of actions have been implemented</w:t>
      </w:r>
      <w:r w:rsidR="00D63CD4" w:rsidRPr="00D63CD4">
        <w:rPr>
          <w:rFonts w:asciiTheme="majorHAnsi" w:hAnsiTheme="majorHAnsi" w:cstheme="majorHAnsi"/>
          <w:sz w:val="22"/>
          <w:szCs w:val="22"/>
        </w:rPr>
        <w:t xml:space="preserve">.  </w:t>
      </w:r>
    </w:p>
    <w:p w14:paraId="3CAA8BA9" w14:textId="77777777" w:rsidR="009C6F1B" w:rsidRDefault="009C6F1B" w:rsidP="009C6F1B">
      <w:pPr>
        <w:pStyle w:val="Default"/>
        <w:ind w:left="1440"/>
        <w:rPr>
          <w:rFonts w:asciiTheme="majorHAnsi" w:hAnsiTheme="majorHAnsi" w:cstheme="majorHAnsi"/>
          <w:sz w:val="22"/>
          <w:szCs w:val="22"/>
        </w:rPr>
      </w:pPr>
    </w:p>
    <w:p w14:paraId="04FF6AF5" w14:textId="5E4587C0" w:rsidR="00E210D9" w:rsidRPr="00D63CD4" w:rsidRDefault="00E210D9" w:rsidP="000010E3">
      <w:pPr>
        <w:pStyle w:val="Default"/>
        <w:numPr>
          <w:ilvl w:val="0"/>
          <w:numId w:val="22"/>
        </w:numPr>
        <w:rPr>
          <w:rFonts w:asciiTheme="majorHAnsi" w:hAnsiTheme="majorHAnsi" w:cstheme="majorHAnsi"/>
          <w:sz w:val="22"/>
          <w:szCs w:val="22"/>
        </w:rPr>
      </w:pPr>
      <w:r>
        <w:rPr>
          <w:rFonts w:asciiTheme="majorHAnsi" w:hAnsiTheme="majorHAnsi" w:cstheme="majorHAnsi"/>
          <w:sz w:val="22"/>
          <w:szCs w:val="22"/>
        </w:rPr>
        <w:t xml:space="preserve">It must be stressed, that it is anticipated that as the committee have already approved a comprehensive audit plan, I fully anticipate being able to provide a complete opinion </w:t>
      </w:r>
      <w:r w:rsidR="009C6F1B">
        <w:rPr>
          <w:rFonts w:asciiTheme="majorHAnsi" w:hAnsiTheme="majorHAnsi" w:cstheme="majorHAnsi"/>
          <w:sz w:val="22"/>
          <w:szCs w:val="22"/>
        </w:rPr>
        <w:t>for the Annual Report for 2021-2022.</w:t>
      </w:r>
    </w:p>
    <w:p w14:paraId="100E0240" w14:textId="77777777" w:rsidR="00E4205A" w:rsidRPr="00E4205A" w:rsidRDefault="00E4205A" w:rsidP="00E4205A">
      <w:pPr>
        <w:pStyle w:val="Default"/>
        <w:ind w:left="720"/>
        <w:rPr>
          <w:rFonts w:asciiTheme="majorHAnsi" w:hAnsiTheme="majorHAnsi" w:cstheme="majorHAnsi"/>
          <w:b/>
          <w:bCs/>
          <w:sz w:val="22"/>
          <w:szCs w:val="22"/>
        </w:rPr>
      </w:pPr>
    </w:p>
    <w:p w14:paraId="483AE54B" w14:textId="77777777" w:rsidR="00E4205A" w:rsidRDefault="00E4205A" w:rsidP="00E4205A">
      <w:pPr>
        <w:pStyle w:val="Default"/>
        <w:ind w:left="720"/>
        <w:rPr>
          <w:rFonts w:asciiTheme="majorHAnsi" w:hAnsiTheme="majorHAnsi" w:cstheme="majorHAnsi"/>
          <w:sz w:val="22"/>
          <w:szCs w:val="22"/>
        </w:rPr>
      </w:pPr>
    </w:p>
    <w:p w14:paraId="1513EB1B" w14:textId="2A410FB6" w:rsidR="00E4205A" w:rsidRDefault="007D4567" w:rsidP="007D4567">
      <w:pPr>
        <w:pStyle w:val="ListParagraph"/>
        <w:ind w:hanging="720"/>
        <w:rPr>
          <w:rFonts w:asciiTheme="majorHAnsi" w:hAnsiTheme="majorHAnsi" w:cstheme="majorHAnsi"/>
          <w:b/>
          <w:bCs/>
          <w:sz w:val="22"/>
          <w:szCs w:val="22"/>
        </w:rPr>
      </w:pPr>
      <w:r>
        <w:rPr>
          <w:rFonts w:asciiTheme="majorHAnsi" w:hAnsiTheme="majorHAnsi" w:cstheme="majorHAnsi"/>
          <w:b/>
          <w:bCs/>
          <w:sz w:val="22"/>
          <w:szCs w:val="22"/>
        </w:rPr>
        <w:t>Quality and Improvement Assurance Programme (QAIP)</w:t>
      </w:r>
    </w:p>
    <w:p w14:paraId="1D047895" w14:textId="4F92C033" w:rsidR="000664A7" w:rsidRDefault="000664A7" w:rsidP="007D4567">
      <w:pPr>
        <w:pStyle w:val="ListParagraph"/>
        <w:ind w:hanging="720"/>
        <w:rPr>
          <w:rFonts w:asciiTheme="majorHAnsi" w:hAnsiTheme="majorHAnsi" w:cstheme="majorHAnsi"/>
          <w:b/>
          <w:bCs/>
          <w:sz w:val="22"/>
          <w:szCs w:val="22"/>
        </w:rPr>
      </w:pPr>
    </w:p>
    <w:p w14:paraId="296117DC" w14:textId="49385057" w:rsidR="000664A7" w:rsidRDefault="000664A7" w:rsidP="001A4592">
      <w:pPr>
        <w:pStyle w:val="ListParagraph"/>
        <w:numPr>
          <w:ilvl w:val="0"/>
          <w:numId w:val="22"/>
        </w:numPr>
        <w:autoSpaceDE w:val="0"/>
        <w:autoSpaceDN w:val="0"/>
        <w:adjustRightInd w:val="0"/>
        <w:rPr>
          <w:rFonts w:asciiTheme="majorHAnsi" w:eastAsiaTheme="minorHAnsi" w:hAnsiTheme="majorHAnsi" w:cstheme="majorHAnsi"/>
          <w:sz w:val="22"/>
          <w:szCs w:val="22"/>
        </w:rPr>
      </w:pPr>
      <w:r w:rsidRPr="000664A7">
        <w:rPr>
          <w:rFonts w:asciiTheme="majorHAnsi" w:eastAsiaTheme="minorHAnsi" w:hAnsiTheme="majorHAnsi" w:cstheme="majorHAnsi"/>
          <w:sz w:val="22"/>
          <w:szCs w:val="22"/>
        </w:rPr>
        <w:t>In accordance with the PSIAS, the Chief Internal Auditor (Service Lead Audit and Risk) has established a quality assurance and improvement programme (QAIP) that covers all aspects of the internal audit activity. The QAIP must include both internal and external assessments.</w:t>
      </w:r>
    </w:p>
    <w:p w14:paraId="106EEC8E" w14:textId="77777777" w:rsidR="00757E5A" w:rsidRDefault="00757E5A" w:rsidP="00757E5A">
      <w:pPr>
        <w:pStyle w:val="ListParagraph"/>
        <w:autoSpaceDE w:val="0"/>
        <w:autoSpaceDN w:val="0"/>
        <w:adjustRightInd w:val="0"/>
        <w:rPr>
          <w:rFonts w:asciiTheme="majorHAnsi" w:eastAsiaTheme="minorHAnsi" w:hAnsiTheme="majorHAnsi" w:cstheme="majorHAnsi"/>
          <w:sz w:val="22"/>
          <w:szCs w:val="22"/>
        </w:rPr>
      </w:pPr>
    </w:p>
    <w:p w14:paraId="0CDD15C3" w14:textId="1F49CDFA" w:rsidR="000664A7" w:rsidRDefault="000664A7" w:rsidP="00757E5A">
      <w:pPr>
        <w:pStyle w:val="ListParagraph"/>
        <w:numPr>
          <w:ilvl w:val="0"/>
          <w:numId w:val="27"/>
        </w:numPr>
        <w:autoSpaceDE w:val="0"/>
        <w:autoSpaceDN w:val="0"/>
        <w:adjustRightInd w:val="0"/>
        <w:rPr>
          <w:rFonts w:asciiTheme="majorHAnsi" w:eastAsiaTheme="minorHAnsi" w:hAnsiTheme="majorHAnsi" w:cstheme="majorHAnsi"/>
          <w:sz w:val="22"/>
          <w:szCs w:val="22"/>
        </w:rPr>
      </w:pPr>
      <w:r w:rsidRPr="000664A7">
        <w:rPr>
          <w:rFonts w:asciiTheme="majorHAnsi" w:eastAsiaTheme="minorHAnsi" w:hAnsiTheme="majorHAnsi" w:cstheme="majorHAnsi"/>
          <w:sz w:val="22"/>
          <w:szCs w:val="22"/>
        </w:rPr>
        <w:t>The internal assessments include the following:</w:t>
      </w:r>
    </w:p>
    <w:p w14:paraId="6D6F9FB2" w14:textId="77777777" w:rsidR="000664A7" w:rsidRPr="000664A7" w:rsidRDefault="000664A7" w:rsidP="000664A7">
      <w:pPr>
        <w:autoSpaceDE w:val="0"/>
        <w:autoSpaceDN w:val="0"/>
        <w:adjustRightInd w:val="0"/>
        <w:rPr>
          <w:rFonts w:asciiTheme="majorHAnsi" w:eastAsiaTheme="minorHAnsi" w:hAnsiTheme="majorHAnsi" w:cstheme="majorHAnsi"/>
          <w:sz w:val="22"/>
          <w:szCs w:val="22"/>
        </w:rPr>
      </w:pPr>
    </w:p>
    <w:p w14:paraId="2CE2D87C" w14:textId="1F0FD446" w:rsidR="000664A7" w:rsidRPr="00757E5A" w:rsidRDefault="000664A7" w:rsidP="000664A7">
      <w:pPr>
        <w:pStyle w:val="ListParagraph"/>
        <w:numPr>
          <w:ilvl w:val="0"/>
          <w:numId w:val="18"/>
        </w:numPr>
        <w:autoSpaceDE w:val="0"/>
        <w:autoSpaceDN w:val="0"/>
        <w:adjustRightInd w:val="0"/>
        <w:rPr>
          <w:rFonts w:asciiTheme="majorHAnsi" w:eastAsiaTheme="minorHAnsi" w:hAnsiTheme="majorHAnsi" w:cstheme="majorHAnsi"/>
          <w:b/>
          <w:bCs/>
          <w:sz w:val="22"/>
          <w:szCs w:val="22"/>
        </w:rPr>
      </w:pPr>
      <w:r w:rsidRPr="000664A7">
        <w:rPr>
          <w:rFonts w:asciiTheme="majorHAnsi" w:eastAsiaTheme="minorHAnsi" w:hAnsiTheme="majorHAnsi" w:cstheme="majorHAnsi"/>
          <w:sz w:val="22"/>
          <w:szCs w:val="22"/>
        </w:rPr>
        <w:t xml:space="preserve">An annual self-assessment of the effectiveness of the Internal Audit Service audit service using the PSIAS and Local Government Application Note. PSIAS. From this assessment an </w:t>
      </w:r>
      <w:r w:rsidR="009F7115" w:rsidRPr="000664A7">
        <w:rPr>
          <w:rFonts w:asciiTheme="majorHAnsi" w:eastAsiaTheme="minorHAnsi" w:hAnsiTheme="majorHAnsi" w:cstheme="majorHAnsi"/>
          <w:sz w:val="22"/>
          <w:szCs w:val="22"/>
        </w:rPr>
        <w:t>action plan highlighting area</w:t>
      </w:r>
      <w:r w:rsidR="009F7115">
        <w:rPr>
          <w:rFonts w:asciiTheme="majorHAnsi" w:eastAsiaTheme="minorHAnsi" w:hAnsiTheme="majorHAnsi" w:cstheme="majorHAnsi"/>
          <w:sz w:val="22"/>
          <w:szCs w:val="22"/>
        </w:rPr>
        <w:t>s</w:t>
      </w:r>
      <w:r w:rsidRPr="000664A7">
        <w:rPr>
          <w:rFonts w:asciiTheme="majorHAnsi" w:eastAsiaTheme="minorHAnsi" w:hAnsiTheme="majorHAnsi" w:cstheme="majorHAnsi"/>
          <w:sz w:val="22"/>
          <w:szCs w:val="22"/>
        </w:rPr>
        <w:t xml:space="preserve"> for improvements will be developed</w:t>
      </w:r>
      <w:r w:rsidR="00757E5A">
        <w:rPr>
          <w:rFonts w:asciiTheme="majorHAnsi" w:eastAsiaTheme="minorHAnsi" w:hAnsiTheme="majorHAnsi" w:cstheme="majorHAnsi"/>
          <w:sz w:val="22"/>
          <w:szCs w:val="22"/>
        </w:rPr>
        <w:t xml:space="preserve">.   </w:t>
      </w:r>
    </w:p>
    <w:p w14:paraId="4E3D8DC8" w14:textId="1B0E535C" w:rsidR="00757E5A" w:rsidRDefault="000664A7" w:rsidP="009F48D8">
      <w:pPr>
        <w:pStyle w:val="ListParagraph"/>
        <w:numPr>
          <w:ilvl w:val="0"/>
          <w:numId w:val="18"/>
        </w:numPr>
        <w:autoSpaceDE w:val="0"/>
        <w:autoSpaceDN w:val="0"/>
        <w:adjustRightInd w:val="0"/>
        <w:rPr>
          <w:rFonts w:asciiTheme="majorHAnsi" w:eastAsiaTheme="minorHAnsi" w:hAnsiTheme="majorHAnsi" w:cstheme="majorHAnsi"/>
          <w:sz w:val="22"/>
          <w:szCs w:val="22"/>
        </w:rPr>
      </w:pPr>
      <w:r w:rsidRPr="006E178F">
        <w:rPr>
          <w:rFonts w:asciiTheme="majorHAnsi" w:eastAsiaTheme="minorHAnsi" w:hAnsiTheme="majorHAnsi" w:cstheme="majorHAnsi"/>
          <w:sz w:val="22"/>
          <w:szCs w:val="22"/>
        </w:rPr>
        <w:lastRenderedPageBreak/>
        <w:t xml:space="preserve">Day-to-day monitoring of compliance with the </w:t>
      </w:r>
      <w:r w:rsidR="00757E5A" w:rsidRPr="006E178F">
        <w:rPr>
          <w:rFonts w:asciiTheme="majorHAnsi" w:eastAsiaTheme="minorHAnsi" w:hAnsiTheme="majorHAnsi" w:cstheme="majorHAnsi"/>
          <w:sz w:val="22"/>
          <w:szCs w:val="22"/>
        </w:rPr>
        <w:t xml:space="preserve">procedures and audit methodology that conform to the PSIAS, which will be regularly reviewed.  All documentation used throughout the whole </w:t>
      </w:r>
      <w:r w:rsidR="006E178F" w:rsidRPr="006E178F">
        <w:rPr>
          <w:rFonts w:asciiTheme="majorHAnsi" w:eastAsiaTheme="minorHAnsi" w:hAnsiTheme="majorHAnsi" w:cstheme="majorHAnsi"/>
          <w:sz w:val="22"/>
          <w:szCs w:val="22"/>
        </w:rPr>
        <w:t>Internal</w:t>
      </w:r>
      <w:r w:rsidR="00757E5A" w:rsidRPr="006E178F">
        <w:rPr>
          <w:rFonts w:asciiTheme="majorHAnsi" w:eastAsiaTheme="minorHAnsi" w:hAnsiTheme="majorHAnsi" w:cstheme="majorHAnsi"/>
          <w:sz w:val="22"/>
          <w:szCs w:val="22"/>
        </w:rPr>
        <w:t xml:space="preserve"> Audit process is required to comply with the standards and this is recorded on </w:t>
      </w:r>
      <w:r w:rsidR="006E178F" w:rsidRPr="006E178F">
        <w:rPr>
          <w:rFonts w:asciiTheme="majorHAnsi" w:eastAsiaTheme="minorHAnsi" w:hAnsiTheme="majorHAnsi" w:cstheme="majorHAnsi"/>
          <w:sz w:val="22"/>
          <w:szCs w:val="22"/>
        </w:rPr>
        <w:t xml:space="preserve">final reports. </w:t>
      </w:r>
      <w:r w:rsidR="00757E5A" w:rsidRPr="006E178F">
        <w:rPr>
          <w:rFonts w:asciiTheme="majorHAnsi" w:eastAsiaTheme="minorHAnsi" w:hAnsiTheme="majorHAnsi" w:cstheme="majorHAnsi"/>
          <w:sz w:val="22"/>
          <w:szCs w:val="22"/>
        </w:rPr>
        <w:t xml:space="preserve"> </w:t>
      </w:r>
    </w:p>
    <w:p w14:paraId="0FA0BCDA" w14:textId="77777777" w:rsidR="006E178F" w:rsidRPr="006E178F" w:rsidRDefault="006E178F" w:rsidP="006E178F">
      <w:pPr>
        <w:pStyle w:val="ListParagraph"/>
        <w:autoSpaceDE w:val="0"/>
        <w:autoSpaceDN w:val="0"/>
        <w:adjustRightInd w:val="0"/>
        <w:ind w:left="1440"/>
        <w:rPr>
          <w:rFonts w:asciiTheme="majorHAnsi" w:eastAsiaTheme="minorHAnsi" w:hAnsiTheme="majorHAnsi" w:cstheme="majorHAnsi"/>
          <w:sz w:val="22"/>
          <w:szCs w:val="22"/>
        </w:rPr>
      </w:pPr>
    </w:p>
    <w:p w14:paraId="35081225" w14:textId="65DA8944" w:rsidR="000664A7" w:rsidRDefault="00757E5A" w:rsidP="00757E5A">
      <w:pPr>
        <w:pStyle w:val="ListParagraph"/>
        <w:numPr>
          <w:ilvl w:val="0"/>
          <w:numId w:val="27"/>
        </w:numPr>
        <w:autoSpaceDE w:val="0"/>
        <w:autoSpaceDN w:val="0"/>
        <w:adjustRightInd w:val="0"/>
        <w:rPr>
          <w:rFonts w:asciiTheme="majorHAnsi" w:eastAsiaTheme="minorHAnsi" w:hAnsiTheme="majorHAnsi" w:cstheme="majorHAnsi"/>
          <w:sz w:val="22"/>
          <w:szCs w:val="22"/>
        </w:rPr>
      </w:pPr>
      <w:r>
        <w:rPr>
          <w:rFonts w:asciiTheme="majorHAnsi" w:eastAsiaTheme="minorHAnsi" w:hAnsiTheme="majorHAnsi" w:cstheme="majorHAnsi"/>
          <w:sz w:val="22"/>
          <w:szCs w:val="22"/>
        </w:rPr>
        <w:t>An e</w:t>
      </w:r>
      <w:r w:rsidR="000664A7" w:rsidRPr="00757E5A">
        <w:rPr>
          <w:rFonts w:asciiTheme="majorHAnsi" w:eastAsiaTheme="minorHAnsi" w:hAnsiTheme="majorHAnsi" w:cstheme="majorHAnsi"/>
          <w:sz w:val="22"/>
          <w:szCs w:val="22"/>
        </w:rPr>
        <w:t>xternal assessment</w:t>
      </w:r>
      <w:r>
        <w:rPr>
          <w:rFonts w:asciiTheme="majorHAnsi" w:eastAsiaTheme="minorHAnsi" w:hAnsiTheme="majorHAnsi" w:cstheme="majorHAnsi"/>
          <w:sz w:val="22"/>
          <w:szCs w:val="22"/>
        </w:rPr>
        <w:t xml:space="preserve"> must be undertaken once every 5 years.  This was last undertaken in April 2018 and reported to the Governance Committee in May 2018.  The assessment provides an external validation of the </w:t>
      </w:r>
      <w:r w:rsidR="006E178F">
        <w:rPr>
          <w:rFonts w:asciiTheme="majorHAnsi" w:eastAsiaTheme="minorHAnsi" w:hAnsiTheme="majorHAnsi" w:cstheme="majorHAnsi"/>
          <w:sz w:val="22"/>
          <w:szCs w:val="22"/>
        </w:rPr>
        <w:t>self-assessment with next assessment planned for 2023.</w:t>
      </w:r>
    </w:p>
    <w:p w14:paraId="27BEC7E1" w14:textId="77777777" w:rsidR="006E178F" w:rsidRDefault="006E178F" w:rsidP="006E178F">
      <w:pPr>
        <w:pStyle w:val="ListParagraph"/>
        <w:autoSpaceDE w:val="0"/>
        <w:autoSpaceDN w:val="0"/>
        <w:adjustRightInd w:val="0"/>
        <w:rPr>
          <w:rFonts w:asciiTheme="majorHAnsi" w:eastAsiaTheme="minorHAnsi" w:hAnsiTheme="majorHAnsi" w:cstheme="majorHAnsi"/>
          <w:sz w:val="22"/>
          <w:szCs w:val="22"/>
        </w:rPr>
      </w:pPr>
    </w:p>
    <w:p w14:paraId="5F604648" w14:textId="23D43EDE" w:rsidR="006E178F" w:rsidRPr="00D621EE" w:rsidRDefault="00757E5A" w:rsidP="006E178F">
      <w:pPr>
        <w:pStyle w:val="ListParagraph"/>
        <w:numPr>
          <w:ilvl w:val="0"/>
          <w:numId w:val="27"/>
        </w:numPr>
        <w:rPr>
          <w:rFonts w:asciiTheme="majorHAnsi" w:hAnsiTheme="majorHAnsi" w:cstheme="majorHAnsi"/>
          <w:b/>
          <w:bCs/>
          <w:sz w:val="22"/>
          <w:szCs w:val="22"/>
        </w:rPr>
      </w:pPr>
      <w:r>
        <w:rPr>
          <w:rFonts w:asciiTheme="majorHAnsi" w:eastAsiaTheme="minorHAnsi" w:hAnsiTheme="majorHAnsi" w:cstheme="majorHAnsi"/>
          <w:sz w:val="22"/>
          <w:szCs w:val="22"/>
        </w:rPr>
        <w:t>Th</w:t>
      </w:r>
      <w:r w:rsidR="006E178F">
        <w:rPr>
          <w:rFonts w:asciiTheme="majorHAnsi" w:eastAsiaTheme="minorHAnsi" w:hAnsiTheme="majorHAnsi" w:cstheme="majorHAnsi"/>
          <w:sz w:val="22"/>
          <w:szCs w:val="22"/>
        </w:rPr>
        <w:t xml:space="preserve">e internal </w:t>
      </w:r>
      <w:r>
        <w:rPr>
          <w:rFonts w:asciiTheme="majorHAnsi" w:eastAsiaTheme="minorHAnsi" w:hAnsiTheme="majorHAnsi" w:cstheme="majorHAnsi"/>
          <w:sz w:val="22"/>
          <w:szCs w:val="22"/>
        </w:rPr>
        <w:t>annual</w:t>
      </w:r>
      <w:r w:rsidR="006E178F">
        <w:rPr>
          <w:rFonts w:asciiTheme="majorHAnsi" w:eastAsiaTheme="minorHAnsi" w:hAnsiTheme="majorHAnsi" w:cstheme="majorHAnsi"/>
          <w:sz w:val="22"/>
          <w:szCs w:val="22"/>
        </w:rPr>
        <w:t xml:space="preserve"> </w:t>
      </w:r>
      <w:r w:rsidR="009F7115">
        <w:rPr>
          <w:rFonts w:asciiTheme="majorHAnsi" w:eastAsiaTheme="minorHAnsi" w:hAnsiTheme="majorHAnsi" w:cstheme="majorHAnsi"/>
          <w:sz w:val="22"/>
          <w:szCs w:val="22"/>
        </w:rPr>
        <w:t>self-assessment</w:t>
      </w:r>
      <w:r>
        <w:rPr>
          <w:rFonts w:asciiTheme="majorHAnsi" w:eastAsiaTheme="minorHAnsi" w:hAnsiTheme="majorHAnsi" w:cstheme="majorHAnsi"/>
          <w:sz w:val="22"/>
          <w:szCs w:val="22"/>
        </w:rPr>
        <w:t xml:space="preserve"> has now been conducted and the results are included as a separate report on the agenda.  </w:t>
      </w:r>
      <w:r w:rsidR="006E178F">
        <w:rPr>
          <w:rFonts w:asciiTheme="majorHAnsi" w:eastAsiaTheme="minorHAnsi" w:hAnsiTheme="majorHAnsi" w:cstheme="majorHAnsi"/>
          <w:sz w:val="22"/>
          <w:szCs w:val="22"/>
        </w:rPr>
        <w:t>Five</w:t>
      </w:r>
      <w:r w:rsidR="006E178F">
        <w:rPr>
          <w:rFonts w:asciiTheme="majorHAnsi" w:hAnsiTheme="majorHAnsi" w:cstheme="majorHAnsi"/>
          <w:sz w:val="22"/>
          <w:szCs w:val="22"/>
        </w:rPr>
        <w:t xml:space="preserve"> areas for improvement for the Internal Audit Service have been identified and details are included on the action plan at </w:t>
      </w:r>
      <w:r w:rsidR="006E178F" w:rsidRPr="006E178F">
        <w:rPr>
          <w:rFonts w:asciiTheme="majorHAnsi" w:hAnsiTheme="majorHAnsi" w:cstheme="majorHAnsi"/>
          <w:b/>
          <w:bCs/>
          <w:sz w:val="22"/>
          <w:szCs w:val="22"/>
        </w:rPr>
        <w:t>Appendix A</w:t>
      </w:r>
      <w:r w:rsidR="006E178F">
        <w:rPr>
          <w:rFonts w:asciiTheme="majorHAnsi" w:hAnsiTheme="majorHAnsi" w:cstheme="majorHAnsi"/>
          <w:sz w:val="22"/>
          <w:szCs w:val="22"/>
        </w:rPr>
        <w:t xml:space="preserve">.   </w:t>
      </w:r>
    </w:p>
    <w:p w14:paraId="235A7E0E" w14:textId="36C91148" w:rsidR="007D4567" w:rsidRPr="006E178F" w:rsidRDefault="007D4567" w:rsidP="006E178F">
      <w:pPr>
        <w:pStyle w:val="ListParagraph"/>
        <w:autoSpaceDE w:val="0"/>
        <w:autoSpaceDN w:val="0"/>
        <w:adjustRightInd w:val="0"/>
        <w:rPr>
          <w:rFonts w:asciiTheme="majorHAnsi" w:eastAsiaTheme="minorHAnsi" w:hAnsiTheme="majorHAnsi" w:cstheme="majorHAnsi"/>
          <w:b/>
          <w:bCs/>
          <w:sz w:val="22"/>
          <w:szCs w:val="22"/>
        </w:rPr>
      </w:pPr>
    </w:p>
    <w:p w14:paraId="0CAE5962" w14:textId="49DC6CE9" w:rsidR="00D4431F" w:rsidRPr="00D4431F" w:rsidRDefault="0035516E" w:rsidP="00D4431F">
      <w:pPr>
        <w:jc w:val="both"/>
        <w:rPr>
          <w:rFonts w:asciiTheme="majorHAnsi" w:hAnsiTheme="majorHAnsi" w:cstheme="majorHAnsi"/>
          <w:bCs/>
        </w:rPr>
      </w:pPr>
      <w:r w:rsidRPr="00D435E5">
        <w:rPr>
          <w:rFonts w:asciiTheme="majorHAnsi" w:hAnsiTheme="majorHAnsi" w:cstheme="majorHAnsi"/>
          <w:bCs/>
          <w:sz w:val="22"/>
          <w:szCs w:val="22"/>
        </w:rPr>
        <w:t>There are no background papers to this report</w:t>
      </w:r>
      <w:r w:rsidR="007C24FC">
        <w:rPr>
          <w:rFonts w:asciiTheme="majorHAnsi" w:hAnsiTheme="majorHAnsi" w:cstheme="majorHAnsi"/>
          <w:bCs/>
        </w:rPr>
        <w:t>.</w:t>
      </w:r>
    </w:p>
    <w:p w14:paraId="0CAE5964" w14:textId="77777777" w:rsidR="00CA04F3" w:rsidRPr="00D4431F" w:rsidRDefault="00572AFC" w:rsidP="00CA04F3">
      <w:pPr>
        <w:jc w:val="both"/>
        <w:rPr>
          <w:rFonts w:cstheme="minorHAnsi"/>
          <w:bCs/>
          <w:i/>
        </w:rPr>
      </w:pPr>
    </w:p>
    <w:p w14:paraId="0CAE5965" w14:textId="77777777" w:rsidR="00D4431F" w:rsidRPr="00CA04F3" w:rsidRDefault="0035516E"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0CAE5968" w14:textId="6B52D4DC" w:rsidR="00D4431F" w:rsidRPr="00572AFC" w:rsidRDefault="0035516E" w:rsidP="006149F1">
      <w:pPr>
        <w:jc w:val="both"/>
        <w:rPr>
          <w:rFonts w:cstheme="minorHAnsi"/>
          <w:bCs/>
          <w:iCs/>
          <w:sz w:val="22"/>
          <w:szCs w:val="22"/>
        </w:rPr>
      </w:pPr>
      <w:r w:rsidRPr="00572AFC">
        <w:rPr>
          <w:rFonts w:cstheme="minorHAnsi"/>
          <w:bCs/>
          <w:iCs/>
          <w:sz w:val="22"/>
          <w:szCs w:val="22"/>
        </w:rPr>
        <w:t>Appendix A</w:t>
      </w:r>
      <w:r w:rsidR="007C24FC" w:rsidRPr="00572AFC">
        <w:rPr>
          <w:rFonts w:cstheme="minorHAnsi"/>
          <w:bCs/>
          <w:iCs/>
          <w:sz w:val="22"/>
          <w:szCs w:val="22"/>
        </w:rPr>
        <w:t xml:space="preserve"> – Self Assessment Action plan</w:t>
      </w:r>
      <w:bookmarkStart w:id="0" w:name="_GoBack"/>
      <w:bookmarkEnd w:id="0"/>
    </w:p>
    <w:p w14:paraId="0CAE596B" w14:textId="77777777" w:rsidR="00D4431F" w:rsidRPr="00572AFC" w:rsidRDefault="00572AFC" w:rsidP="00D4431F">
      <w:pPr>
        <w:jc w:val="both"/>
        <w:rPr>
          <w:rFonts w:cstheme="minorHAnsi"/>
          <w:bCs/>
          <w:sz w:val="22"/>
          <w:szCs w:val="22"/>
        </w:rPr>
      </w:pPr>
    </w:p>
    <w:p w14:paraId="0CAE596C" w14:textId="44EB0439" w:rsidR="00D4431F" w:rsidRPr="00572AFC" w:rsidRDefault="007C24FC" w:rsidP="006149F1">
      <w:pPr>
        <w:jc w:val="both"/>
        <w:rPr>
          <w:rFonts w:cstheme="minorHAnsi"/>
          <w:bCs/>
          <w:sz w:val="22"/>
          <w:szCs w:val="22"/>
        </w:rPr>
      </w:pPr>
      <w:r w:rsidRPr="00572AFC">
        <w:rPr>
          <w:rFonts w:cstheme="minorHAnsi"/>
          <w:bCs/>
          <w:sz w:val="22"/>
          <w:szCs w:val="22"/>
        </w:rPr>
        <w:t>Dawn Highton</w:t>
      </w:r>
    </w:p>
    <w:p w14:paraId="0CAE596D" w14:textId="25C17098" w:rsidR="00D4431F" w:rsidRPr="00572AFC" w:rsidRDefault="007C24FC" w:rsidP="006149F1">
      <w:pPr>
        <w:jc w:val="both"/>
        <w:rPr>
          <w:rFonts w:cstheme="minorHAnsi"/>
          <w:bCs/>
          <w:sz w:val="22"/>
          <w:szCs w:val="22"/>
        </w:rPr>
      </w:pPr>
      <w:r w:rsidRPr="00572AFC">
        <w:rPr>
          <w:rFonts w:cstheme="minorHAnsi"/>
          <w:bCs/>
          <w:sz w:val="22"/>
          <w:szCs w:val="22"/>
        </w:rPr>
        <w:t>Service Lead Audit and Risk</w:t>
      </w:r>
      <w:r w:rsidR="0035516E" w:rsidRPr="00572AFC">
        <w:rPr>
          <w:rFonts w:cstheme="minorHAnsi"/>
          <w:bCs/>
          <w:sz w:val="22"/>
          <w:szCs w:val="22"/>
        </w:rPr>
        <w:t xml:space="preserve"> </w:t>
      </w:r>
    </w:p>
    <w:p w14:paraId="0CAE596E" w14:textId="77777777" w:rsidR="00D4431F" w:rsidRPr="00D4431F" w:rsidRDefault="00572AFC" w:rsidP="00D4431F">
      <w:pPr>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836"/>
        <w:gridCol w:w="1487"/>
        <w:gridCol w:w="1141"/>
      </w:tblGrid>
      <w:tr w:rsidR="005926B4" w14:paraId="0CAE5973" w14:textId="77777777" w:rsidTr="008E66FA">
        <w:tc>
          <w:tcPr>
            <w:tcW w:w="3856" w:type="dxa"/>
            <w:shd w:val="clear" w:color="auto" w:fill="auto"/>
          </w:tcPr>
          <w:p w14:paraId="0CAE596F" w14:textId="77777777" w:rsidR="00D4431F" w:rsidRPr="00D4431F" w:rsidRDefault="0035516E" w:rsidP="00D4431F">
            <w:pPr>
              <w:jc w:val="both"/>
              <w:rPr>
                <w:rFonts w:cstheme="minorHAnsi"/>
                <w:bCs/>
              </w:rPr>
            </w:pPr>
            <w:r w:rsidRPr="00D4431F">
              <w:rPr>
                <w:rFonts w:cstheme="minorHAnsi"/>
                <w:bCs/>
              </w:rPr>
              <w:t>Report Author:</w:t>
            </w:r>
          </w:p>
        </w:tc>
        <w:tc>
          <w:tcPr>
            <w:tcW w:w="2835" w:type="dxa"/>
          </w:tcPr>
          <w:p w14:paraId="0CAE5970" w14:textId="77777777" w:rsidR="00D4431F" w:rsidRPr="00D4431F" w:rsidRDefault="0035516E" w:rsidP="00D4431F">
            <w:pPr>
              <w:jc w:val="both"/>
              <w:rPr>
                <w:rFonts w:cstheme="minorHAnsi"/>
                <w:bCs/>
              </w:rPr>
            </w:pPr>
            <w:r w:rsidRPr="00D4431F">
              <w:rPr>
                <w:rFonts w:cstheme="minorHAnsi"/>
                <w:bCs/>
              </w:rPr>
              <w:t>Email:</w:t>
            </w:r>
          </w:p>
        </w:tc>
        <w:tc>
          <w:tcPr>
            <w:tcW w:w="1560" w:type="dxa"/>
            <w:shd w:val="clear" w:color="auto" w:fill="auto"/>
          </w:tcPr>
          <w:p w14:paraId="0CAE5971" w14:textId="77777777" w:rsidR="00D4431F" w:rsidRPr="00D4431F" w:rsidRDefault="0035516E" w:rsidP="00D4431F">
            <w:pPr>
              <w:jc w:val="both"/>
              <w:rPr>
                <w:rFonts w:cstheme="minorHAnsi"/>
                <w:bCs/>
              </w:rPr>
            </w:pPr>
            <w:r w:rsidRPr="00D4431F">
              <w:rPr>
                <w:rFonts w:cstheme="minorHAnsi"/>
                <w:bCs/>
              </w:rPr>
              <w:t>Telephone:</w:t>
            </w:r>
          </w:p>
        </w:tc>
        <w:tc>
          <w:tcPr>
            <w:tcW w:w="1269" w:type="dxa"/>
            <w:shd w:val="clear" w:color="auto" w:fill="auto"/>
          </w:tcPr>
          <w:p w14:paraId="0CAE5972" w14:textId="77777777" w:rsidR="00D4431F" w:rsidRPr="00D4431F" w:rsidRDefault="0035516E" w:rsidP="00D4431F">
            <w:pPr>
              <w:jc w:val="both"/>
              <w:rPr>
                <w:rFonts w:cstheme="minorHAnsi"/>
                <w:bCs/>
              </w:rPr>
            </w:pPr>
            <w:r w:rsidRPr="00D4431F">
              <w:rPr>
                <w:rFonts w:cstheme="minorHAnsi"/>
                <w:bCs/>
              </w:rPr>
              <w:t>Date:</w:t>
            </w:r>
          </w:p>
        </w:tc>
      </w:tr>
      <w:tr w:rsidR="005926B4" w14:paraId="0CAE5978" w14:textId="77777777" w:rsidTr="008E66FA">
        <w:tc>
          <w:tcPr>
            <w:tcW w:w="3856" w:type="dxa"/>
            <w:shd w:val="clear" w:color="auto" w:fill="auto"/>
          </w:tcPr>
          <w:p w14:paraId="0CAE5974" w14:textId="77777777" w:rsidR="00D4431F" w:rsidRPr="00D4431F" w:rsidRDefault="0035516E" w:rsidP="00D4431F">
            <w:pPr>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Dawn Highton</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 Lead- Audit &amp; Risk</w:t>
            </w:r>
            <w:r>
              <w:rPr>
                <w:rFonts w:cstheme="minorHAnsi"/>
                <w:bCs/>
              </w:rPr>
              <w:fldChar w:fldCharType="end"/>
            </w:r>
            <w:r w:rsidRPr="00D4431F">
              <w:rPr>
                <w:rFonts w:cstheme="minorHAnsi"/>
                <w:bCs/>
              </w:rPr>
              <w:t>)</w:t>
            </w:r>
          </w:p>
        </w:tc>
        <w:tc>
          <w:tcPr>
            <w:tcW w:w="2835" w:type="dxa"/>
          </w:tcPr>
          <w:p w14:paraId="0CAE5975" w14:textId="77777777" w:rsidR="00D4431F" w:rsidRPr="00D4431F" w:rsidRDefault="0035516E" w:rsidP="00D4431F">
            <w:pPr>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14:paraId="0CAE5976" w14:textId="286A1D74" w:rsidR="00D4431F" w:rsidRPr="00D4431F" w:rsidRDefault="0035516E" w:rsidP="00D4431F">
            <w:pPr>
              <w:jc w:val="both"/>
              <w:rPr>
                <w:rFonts w:cstheme="minorHAnsi"/>
                <w:bCs/>
              </w:rPr>
            </w:pPr>
            <w:r w:rsidRPr="00D4431F">
              <w:rPr>
                <w:rFonts w:cstheme="minorHAnsi"/>
                <w:bCs/>
              </w:rPr>
              <w:t>01772 62</w:t>
            </w:r>
            <w:r w:rsidR="00A12A35">
              <w:rPr>
                <w:rFonts w:cstheme="minorHAnsi"/>
                <w:bCs/>
              </w:rPr>
              <w:t>5625</w:t>
            </w:r>
          </w:p>
        </w:tc>
        <w:tc>
          <w:tcPr>
            <w:tcW w:w="1269" w:type="dxa"/>
            <w:shd w:val="clear" w:color="auto" w:fill="auto"/>
          </w:tcPr>
          <w:p w14:paraId="0CAE5977" w14:textId="0055756F" w:rsidR="00D4431F" w:rsidRPr="00D4431F" w:rsidRDefault="00A12A35" w:rsidP="00D4431F">
            <w:pPr>
              <w:jc w:val="both"/>
              <w:rPr>
                <w:rFonts w:cstheme="minorHAnsi"/>
                <w:bCs/>
              </w:rPr>
            </w:pPr>
            <w:r>
              <w:rPr>
                <w:rFonts w:cstheme="minorHAnsi"/>
                <w:bCs/>
              </w:rPr>
              <w:t>10/5/21</w:t>
            </w:r>
          </w:p>
        </w:tc>
      </w:tr>
    </w:tbl>
    <w:p w14:paraId="0CAE5979" w14:textId="77777777" w:rsidR="0025620C" w:rsidRPr="005C459D" w:rsidRDefault="00572AFC">
      <w:pPr>
        <w:rPr>
          <w:rFonts w:cstheme="minorHAnsi"/>
          <w:bCs/>
          <w:color w:val="000000" w:themeColor="text1"/>
          <w:lang w:val="en-US"/>
        </w:rPr>
      </w:pPr>
    </w:p>
    <w:sectPr w:rsidR="0025620C" w:rsidRPr="005C459D"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597F" w14:textId="77777777" w:rsidR="0052659B" w:rsidRDefault="0035516E">
      <w:r>
        <w:separator/>
      </w:r>
    </w:p>
  </w:endnote>
  <w:endnote w:type="continuationSeparator" w:id="0">
    <w:p w14:paraId="0CAE5981" w14:textId="77777777" w:rsidR="0052659B" w:rsidRDefault="0035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597A" w14:textId="77777777" w:rsidR="003E3AB0" w:rsidRDefault="0035516E">
    <w:pPr>
      <w:pStyle w:val="Footer"/>
    </w:pPr>
    <w:r>
      <w:rPr>
        <w:noProof/>
        <w:lang w:eastAsia="en-GB"/>
      </w:rPr>
      <w:drawing>
        <wp:anchor distT="0" distB="0" distL="114300" distR="114300" simplePos="0" relativeHeight="251658240" behindDoc="1" locked="1" layoutInCell="1" allowOverlap="0" wp14:anchorId="0CAE597B" wp14:editId="0CAE597C">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75840"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597B" w14:textId="77777777" w:rsidR="0052659B" w:rsidRDefault="0035516E">
      <w:r>
        <w:separator/>
      </w:r>
    </w:p>
  </w:footnote>
  <w:footnote w:type="continuationSeparator" w:id="0">
    <w:p w14:paraId="0CAE597D" w14:textId="77777777" w:rsidR="0052659B" w:rsidRDefault="0035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5A1"/>
    <w:multiLevelType w:val="hybridMultilevel"/>
    <w:tmpl w:val="CCBA8FCC"/>
    <w:lvl w:ilvl="0" w:tplc="244A9C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56537"/>
    <w:multiLevelType w:val="hybridMultilevel"/>
    <w:tmpl w:val="0E9CBF3A"/>
    <w:lvl w:ilvl="0" w:tplc="E30E20F8">
      <w:start w:val="19"/>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2551F"/>
    <w:multiLevelType w:val="hybridMultilevel"/>
    <w:tmpl w:val="8C4A8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E033BF"/>
    <w:multiLevelType w:val="hybridMultilevel"/>
    <w:tmpl w:val="B36816D6"/>
    <w:lvl w:ilvl="0" w:tplc="9A68059A">
      <w:start w:val="18"/>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432E8"/>
    <w:multiLevelType w:val="hybridMultilevel"/>
    <w:tmpl w:val="36B65264"/>
    <w:lvl w:ilvl="0" w:tplc="0B0C48E0">
      <w:start w:val="9"/>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82679"/>
    <w:multiLevelType w:val="hybridMultilevel"/>
    <w:tmpl w:val="62AC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C4443"/>
    <w:multiLevelType w:val="hybridMultilevel"/>
    <w:tmpl w:val="09B4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82B4B"/>
    <w:multiLevelType w:val="hybridMultilevel"/>
    <w:tmpl w:val="27D0AF2A"/>
    <w:lvl w:ilvl="0" w:tplc="6C5C7882">
      <w:start w:val="1"/>
      <w:numFmt w:val="bullet"/>
      <w:lvlText w:val=""/>
      <w:lvlJc w:val="left"/>
      <w:pPr>
        <w:ind w:left="990" w:hanging="360"/>
      </w:pPr>
      <w:rPr>
        <w:rFonts w:ascii="Symbol" w:hAnsi="Symbol" w:hint="default"/>
      </w:rPr>
    </w:lvl>
    <w:lvl w:ilvl="1" w:tplc="A58EE51A" w:tentative="1">
      <w:start w:val="1"/>
      <w:numFmt w:val="bullet"/>
      <w:lvlText w:val="o"/>
      <w:lvlJc w:val="left"/>
      <w:pPr>
        <w:ind w:left="1710" w:hanging="360"/>
      </w:pPr>
      <w:rPr>
        <w:rFonts w:ascii="Courier New" w:hAnsi="Courier New" w:cs="Courier New" w:hint="default"/>
      </w:rPr>
    </w:lvl>
    <w:lvl w:ilvl="2" w:tplc="D87EFD78" w:tentative="1">
      <w:start w:val="1"/>
      <w:numFmt w:val="bullet"/>
      <w:lvlText w:val=""/>
      <w:lvlJc w:val="left"/>
      <w:pPr>
        <w:ind w:left="2430" w:hanging="360"/>
      </w:pPr>
      <w:rPr>
        <w:rFonts w:ascii="Wingdings" w:hAnsi="Wingdings" w:hint="default"/>
      </w:rPr>
    </w:lvl>
    <w:lvl w:ilvl="3" w:tplc="859A09F8" w:tentative="1">
      <w:start w:val="1"/>
      <w:numFmt w:val="bullet"/>
      <w:lvlText w:val=""/>
      <w:lvlJc w:val="left"/>
      <w:pPr>
        <w:ind w:left="3150" w:hanging="360"/>
      </w:pPr>
      <w:rPr>
        <w:rFonts w:ascii="Symbol" w:hAnsi="Symbol" w:hint="default"/>
      </w:rPr>
    </w:lvl>
    <w:lvl w:ilvl="4" w:tplc="D310AE46" w:tentative="1">
      <w:start w:val="1"/>
      <w:numFmt w:val="bullet"/>
      <w:lvlText w:val="o"/>
      <w:lvlJc w:val="left"/>
      <w:pPr>
        <w:ind w:left="3870" w:hanging="360"/>
      </w:pPr>
      <w:rPr>
        <w:rFonts w:ascii="Courier New" w:hAnsi="Courier New" w:cs="Courier New" w:hint="default"/>
      </w:rPr>
    </w:lvl>
    <w:lvl w:ilvl="5" w:tplc="3692DBA8" w:tentative="1">
      <w:start w:val="1"/>
      <w:numFmt w:val="bullet"/>
      <w:lvlText w:val=""/>
      <w:lvlJc w:val="left"/>
      <w:pPr>
        <w:ind w:left="4590" w:hanging="360"/>
      </w:pPr>
      <w:rPr>
        <w:rFonts w:ascii="Wingdings" w:hAnsi="Wingdings" w:hint="default"/>
      </w:rPr>
    </w:lvl>
    <w:lvl w:ilvl="6" w:tplc="6B76FBB4" w:tentative="1">
      <w:start w:val="1"/>
      <w:numFmt w:val="bullet"/>
      <w:lvlText w:val=""/>
      <w:lvlJc w:val="left"/>
      <w:pPr>
        <w:ind w:left="5310" w:hanging="360"/>
      </w:pPr>
      <w:rPr>
        <w:rFonts w:ascii="Symbol" w:hAnsi="Symbol" w:hint="default"/>
      </w:rPr>
    </w:lvl>
    <w:lvl w:ilvl="7" w:tplc="C07ABD9C" w:tentative="1">
      <w:start w:val="1"/>
      <w:numFmt w:val="bullet"/>
      <w:lvlText w:val="o"/>
      <w:lvlJc w:val="left"/>
      <w:pPr>
        <w:ind w:left="6030" w:hanging="360"/>
      </w:pPr>
      <w:rPr>
        <w:rFonts w:ascii="Courier New" w:hAnsi="Courier New" w:cs="Courier New" w:hint="default"/>
      </w:rPr>
    </w:lvl>
    <w:lvl w:ilvl="8" w:tplc="AE8CAD52" w:tentative="1">
      <w:start w:val="1"/>
      <w:numFmt w:val="bullet"/>
      <w:lvlText w:val=""/>
      <w:lvlJc w:val="left"/>
      <w:pPr>
        <w:ind w:left="6750" w:hanging="360"/>
      </w:pPr>
      <w:rPr>
        <w:rFonts w:ascii="Wingdings" w:hAnsi="Wingdings" w:hint="default"/>
      </w:rPr>
    </w:lvl>
  </w:abstractNum>
  <w:abstractNum w:abstractNumId="8" w15:restartNumberingAfterBreak="0">
    <w:nsid w:val="30E16587"/>
    <w:multiLevelType w:val="hybridMultilevel"/>
    <w:tmpl w:val="0F9AC9AE"/>
    <w:lvl w:ilvl="0" w:tplc="80D4AC9C">
      <w:start w:val="13"/>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645C5"/>
    <w:multiLevelType w:val="hybridMultilevel"/>
    <w:tmpl w:val="D86C2D3E"/>
    <w:lvl w:ilvl="0" w:tplc="9A68059A">
      <w:start w:val="18"/>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324D4"/>
    <w:multiLevelType w:val="hybridMultilevel"/>
    <w:tmpl w:val="0CE2B5E6"/>
    <w:lvl w:ilvl="0" w:tplc="18C6C4CA">
      <w:start w:val="1"/>
      <w:numFmt w:val="bullet"/>
      <w:lvlText w:val=""/>
      <w:lvlJc w:val="left"/>
      <w:pPr>
        <w:ind w:left="720" w:hanging="360"/>
      </w:pPr>
      <w:rPr>
        <w:rFonts w:ascii="Symbol" w:hAnsi="Symbol" w:hint="default"/>
        <w:color w:val="7FC444"/>
      </w:rPr>
    </w:lvl>
    <w:lvl w:ilvl="1" w:tplc="F0F0AB62" w:tentative="1">
      <w:start w:val="1"/>
      <w:numFmt w:val="bullet"/>
      <w:lvlText w:val="o"/>
      <w:lvlJc w:val="left"/>
      <w:pPr>
        <w:ind w:left="1800" w:hanging="360"/>
      </w:pPr>
      <w:rPr>
        <w:rFonts w:ascii="Courier New" w:hAnsi="Courier New" w:cs="Courier New" w:hint="default"/>
      </w:rPr>
    </w:lvl>
    <w:lvl w:ilvl="2" w:tplc="6BAC3B4C" w:tentative="1">
      <w:start w:val="1"/>
      <w:numFmt w:val="bullet"/>
      <w:lvlText w:val=""/>
      <w:lvlJc w:val="left"/>
      <w:pPr>
        <w:ind w:left="2520" w:hanging="360"/>
      </w:pPr>
      <w:rPr>
        <w:rFonts w:ascii="Wingdings" w:hAnsi="Wingdings" w:hint="default"/>
      </w:rPr>
    </w:lvl>
    <w:lvl w:ilvl="3" w:tplc="22E89F8E" w:tentative="1">
      <w:start w:val="1"/>
      <w:numFmt w:val="bullet"/>
      <w:lvlText w:val=""/>
      <w:lvlJc w:val="left"/>
      <w:pPr>
        <w:ind w:left="3240" w:hanging="360"/>
      </w:pPr>
      <w:rPr>
        <w:rFonts w:ascii="Symbol" w:hAnsi="Symbol" w:hint="default"/>
      </w:rPr>
    </w:lvl>
    <w:lvl w:ilvl="4" w:tplc="8674B0FC" w:tentative="1">
      <w:start w:val="1"/>
      <w:numFmt w:val="bullet"/>
      <w:lvlText w:val="o"/>
      <w:lvlJc w:val="left"/>
      <w:pPr>
        <w:ind w:left="3960" w:hanging="360"/>
      </w:pPr>
      <w:rPr>
        <w:rFonts w:ascii="Courier New" w:hAnsi="Courier New" w:cs="Courier New" w:hint="default"/>
      </w:rPr>
    </w:lvl>
    <w:lvl w:ilvl="5" w:tplc="3BFE0AA4" w:tentative="1">
      <w:start w:val="1"/>
      <w:numFmt w:val="bullet"/>
      <w:lvlText w:val=""/>
      <w:lvlJc w:val="left"/>
      <w:pPr>
        <w:ind w:left="4680" w:hanging="360"/>
      </w:pPr>
      <w:rPr>
        <w:rFonts w:ascii="Wingdings" w:hAnsi="Wingdings" w:hint="default"/>
      </w:rPr>
    </w:lvl>
    <w:lvl w:ilvl="6" w:tplc="8E84C914" w:tentative="1">
      <w:start w:val="1"/>
      <w:numFmt w:val="bullet"/>
      <w:lvlText w:val=""/>
      <w:lvlJc w:val="left"/>
      <w:pPr>
        <w:ind w:left="5400" w:hanging="360"/>
      </w:pPr>
      <w:rPr>
        <w:rFonts w:ascii="Symbol" w:hAnsi="Symbol" w:hint="default"/>
      </w:rPr>
    </w:lvl>
    <w:lvl w:ilvl="7" w:tplc="BD4EFF98" w:tentative="1">
      <w:start w:val="1"/>
      <w:numFmt w:val="bullet"/>
      <w:lvlText w:val="o"/>
      <w:lvlJc w:val="left"/>
      <w:pPr>
        <w:ind w:left="6120" w:hanging="360"/>
      </w:pPr>
      <w:rPr>
        <w:rFonts w:ascii="Courier New" w:hAnsi="Courier New" w:cs="Courier New" w:hint="default"/>
      </w:rPr>
    </w:lvl>
    <w:lvl w:ilvl="8" w:tplc="1F8A396E" w:tentative="1">
      <w:start w:val="1"/>
      <w:numFmt w:val="bullet"/>
      <w:lvlText w:val=""/>
      <w:lvlJc w:val="left"/>
      <w:pPr>
        <w:ind w:left="6840" w:hanging="360"/>
      </w:pPr>
      <w:rPr>
        <w:rFonts w:ascii="Wingdings" w:hAnsi="Wingdings" w:hint="default"/>
      </w:rPr>
    </w:lvl>
  </w:abstractNum>
  <w:abstractNum w:abstractNumId="11" w15:restartNumberingAfterBreak="0">
    <w:nsid w:val="3F561476"/>
    <w:multiLevelType w:val="hybridMultilevel"/>
    <w:tmpl w:val="36A85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25139"/>
    <w:multiLevelType w:val="hybridMultilevel"/>
    <w:tmpl w:val="63F05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56C16"/>
    <w:multiLevelType w:val="hybridMultilevel"/>
    <w:tmpl w:val="A26C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47B25"/>
    <w:multiLevelType w:val="hybridMultilevel"/>
    <w:tmpl w:val="29C0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EC42E2"/>
    <w:multiLevelType w:val="hybridMultilevel"/>
    <w:tmpl w:val="37ECB20A"/>
    <w:lvl w:ilvl="0" w:tplc="E9FCF8D0">
      <w:start w:val="1"/>
      <w:numFmt w:val="bullet"/>
      <w:lvlText w:val=""/>
      <w:lvlJc w:val="left"/>
      <w:pPr>
        <w:ind w:left="720" w:hanging="360"/>
      </w:pPr>
      <w:rPr>
        <w:rFonts w:ascii="Symbol" w:hAnsi="Symbol" w:hint="default"/>
        <w:color w:val="auto"/>
      </w:rPr>
    </w:lvl>
    <w:lvl w:ilvl="1" w:tplc="0044A9CA" w:tentative="1">
      <w:start w:val="1"/>
      <w:numFmt w:val="bullet"/>
      <w:lvlText w:val="o"/>
      <w:lvlJc w:val="left"/>
      <w:pPr>
        <w:ind w:left="1440" w:hanging="360"/>
      </w:pPr>
      <w:rPr>
        <w:rFonts w:ascii="Courier New" w:hAnsi="Courier New" w:cs="Courier New" w:hint="default"/>
      </w:rPr>
    </w:lvl>
    <w:lvl w:ilvl="2" w:tplc="4E6A9198" w:tentative="1">
      <w:start w:val="1"/>
      <w:numFmt w:val="bullet"/>
      <w:lvlText w:val=""/>
      <w:lvlJc w:val="left"/>
      <w:pPr>
        <w:ind w:left="2160" w:hanging="360"/>
      </w:pPr>
      <w:rPr>
        <w:rFonts w:ascii="Wingdings" w:hAnsi="Wingdings" w:hint="default"/>
      </w:rPr>
    </w:lvl>
    <w:lvl w:ilvl="3" w:tplc="F918BD50" w:tentative="1">
      <w:start w:val="1"/>
      <w:numFmt w:val="bullet"/>
      <w:lvlText w:val=""/>
      <w:lvlJc w:val="left"/>
      <w:pPr>
        <w:ind w:left="2880" w:hanging="360"/>
      </w:pPr>
      <w:rPr>
        <w:rFonts w:ascii="Symbol" w:hAnsi="Symbol" w:hint="default"/>
      </w:rPr>
    </w:lvl>
    <w:lvl w:ilvl="4" w:tplc="2C42318E" w:tentative="1">
      <w:start w:val="1"/>
      <w:numFmt w:val="bullet"/>
      <w:lvlText w:val="o"/>
      <w:lvlJc w:val="left"/>
      <w:pPr>
        <w:ind w:left="3600" w:hanging="360"/>
      </w:pPr>
      <w:rPr>
        <w:rFonts w:ascii="Courier New" w:hAnsi="Courier New" w:cs="Courier New" w:hint="default"/>
      </w:rPr>
    </w:lvl>
    <w:lvl w:ilvl="5" w:tplc="9E5CB48A" w:tentative="1">
      <w:start w:val="1"/>
      <w:numFmt w:val="bullet"/>
      <w:lvlText w:val=""/>
      <w:lvlJc w:val="left"/>
      <w:pPr>
        <w:ind w:left="4320" w:hanging="360"/>
      </w:pPr>
      <w:rPr>
        <w:rFonts w:ascii="Wingdings" w:hAnsi="Wingdings" w:hint="default"/>
      </w:rPr>
    </w:lvl>
    <w:lvl w:ilvl="6" w:tplc="A2680538" w:tentative="1">
      <w:start w:val="1"/>
      <w:numFmt w:val="bullet"/>
      <w:lvlText w:val=""/>
      <w:lvlJc w:val="left"/>
      <w:pPr>
        <w:ind w:left="5040" w:hanging="360"/>
      </w:pPr>
      <w:rPr>
        <w:rFonts w:ascii="Symbol" w:hAnsi="Symbol" w:hint="default"/>
      </w:rPr>
    </w:lvl>
    <w:lvl w:ilvl="7" w:tplc="941EEC38" w:tentative="1">
      <w:start w:val="1"/>
      <w:numFmt w:val="bullet"/>
      <w:lvlText w:val="o"/>
      <w:lvlJc w:val="left"/>
      <w:pPr>
        <w:ind w:left="5760" w:hanging="360"/>
      </w:pPr>
      <w:rPr>
        <w:rFonts w:ascii="Courier New" w:hAnsi="Courier New" w:cs="Courier New" w:hint="default"/>
      </w:rPr>
    </w:lvl>
    <w:lvl w:ilvl="8" w:tplc="DBDE844A" w:tentative="1">
      <w:start w:val="1"/>
      <w:numFmt w:val="bullet"/>
      <w:lvlText w:val=""/>
      <w:lvlJc w:val="left"/>
      <w:pPr>
        <w:ind w:left="6480" w:hanging="360"/>
      </w:pPr>
      <w:rPr>
        <w:rFonts w:ascii="Wingdings" w:hAnsi="Wingdings" w:hint="default"/>
      </w:rPr>
    </w:lvl>
  </w:abstractNum>
  <w:abstractNum w:abstractNumId="16" w15:restartNumberingAfterBreak="0">
    <w:nsid w:val="554A47F5"/>
    <w:multiLevelType w:val="hybridMultilevel"/>
    <w:tmpl w:val="846C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A2D55"/>
    <w:multiLevelType w:val="hybridMultilevel"/>
    <w:tmpl w:val="A9FEE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4D2CDE"/>
    <w:multiLevelType w:val="hybridMultilevel"/>
    <w:tmpl w:val="5B6827D0"/>
    <w:lvl w:ilvl="0" w:tplc="35684E72">
      <w:start w:val="1"/>
      <w:numFmt w:val="bullet"/>
      <w:lvlText w:val=""/>
      <w:lvlJc w:val="left"/>
      <w:pPr>
        <w:ind w:left="720" w:hanging="360"/>
      </w:pPr>
      <w:rPr>
        <w:rFonts w:ascii="Symbol" w:hAnsi="Symbol" w:hint="default"/>
        <w:color w:val="7FC444"/>
      </w:rPr>
    </w:lvl>
    <w:lvl w:ilvl="1" w:tplc="BEA6583A" w:tentative="1">
      <w:start w:val="1"/>
      <w:numFmt w:val="bullet"/>
      <w:lvlText w:val="o"/>
      <w:lvlJc w:val="left"/>
      <w:pPr>
        <w:ind w:left="1440" w:hanging="360"/>
      </w:pPr>
      <w:rPr>
        <w:rFonts w:ascii="Courier New" w:hAnsi="Courier New" w:cs="Courier New" w:hint="default"/>
      </w:rPr>
    </w:lvl>
    <w:lvl w:ilvl="2" w:tplc="07E095AE" w:tentative="1">
      <w:start w:val="1"/>
      <w:numFmt w:val="bullet"/>
      <w:lvlText w:val=""/>
      <w:lvlJc w:val="left"/>
      <w:pPr>
        <w:ind w:left="2160" w:hanging="360"/>
      </w:pPr>
      <w:rPr>
        <w:rFonts w:ascii="Wingdings" w:hAnsi="Wingdings" w:hint="default"/>
      </w:rPr>
    </w:lvl>
    <w:lvl w:ilvl="3" w:tplc="B08A18FE" w:tentative="1">
      <w:start w:val="1"/>
      <w:numFmt w:val="bullet"/>
      <w:lvlText w:val=""/>
      <w:lvlJc w:val="left"/>
      <w:pPr>
        <w:ind w:left="2880" w:hanging="360"/>
      </w:pPr>
      <w:rPr>
        <w:rFonts w:ascii="Symbol" w:hAnsi="Symbol" w:hint="default"/>
      </w:rPr>
    </w:lvl>
    <w:lvl w:ilvl="4" w:tplc="52503F82" w:tentative="1">
      <w:start w:val="1"/>
      <w:numFmt w:val="bullet"/>
      <w:lvlText w:val="o"/>
      <w:lvlJc w:val="left"/>
      <w:pPr>
        <w:ind w:left="3600" w:hanging="360"/>
      </w:pPr>
      <w:rPr>
        <w:rFonts w:ascii="Courier New" w:hAnsi="Courier New" w:cs="Courier New" w:hint="default"/>
      </w:rPr>
    </w:lvl>
    <w:lvl w:ilvl="5" w:tplc="CFE8A018" w:tentative="1">
      <w:start w:val="1"/>
      <w:numFmt w:val="bullet"/>
      <w:lvlText w:val=""/>
      <w:lvlJc w:val="left"/>
      <w:pPr>
        <w:ind w:left="4320" w:hanging="360"/>
      </w:pPr>
      <w:rPr>
        <w:rFonts w:ascii="Wingdings" w:hAnsi="Wingdings" w:hint="default"/>
      </w:rPr>
    </w:lvl>
    <w:lvl w:ilvl="6" w:tplc="429848F2" w:tentative="1">
      <w:start w:val="1"/>
      <w:numFmt w:val="bullet"/>
      <w:lvlText w:val=""/>
      <w:lvlJc w:val="left"/>
      <w:pPr>
        <w:ind w:left="5040" w:hanging="360"/>
      </w:pPr>
      <w:rPr>
        <w:rFonts w:ascii="Symbol" w:hAnsi="Symbol" w:hint="default"/>
      </w:rPr>
    </w:lvl>
    <w:lvl w:ilvl="7" w:tplc="FC7237C0" w:tentative="1">
      <w:start w:val="1"/>
      <w:numFmt w:val="bullet"/>
      <w:lvlText w:val="o"/>
      <w:lvlJc w:val="left"/>
      <w:pPr>
        <w:ind w:left="5760" w:hanging="360"/>
      </w:pPr>
      <w:rPr>
        <w:rFonts w:ascii="Courier New" w:hAnsi="Courier New" w:cs="Courier New" w:hint="default"/>
      </w:rPr>
    </w:lvl>
    <w:lvl w:ilvl="8" w:tplc="4792111E" w:tentative="1">
      <w:start w:val="1"/>
      <w:numFmt w:val="bullet"/>
      <w:lvlText w:val=""/>
      <w:lvlJc w:val="left"/>
      <w:pPr>
        <w:ind w:left="6480" w:hanging="360"/>
      </w:pPr>
      <w:rPr>
        <w:rFonts w:ascii="Wingdings" w:hAnsi="Wingdings" w:hint="default"/>
      </w:rPr>
    </w:lvl>
  </w:abstractNum>
  <w:abstractNum w:abstractNumId="19" w15:restartNumberingAfterBreak="0">
    <w:nsid w:val="5C5E5628"/>
    <w:multiLevelType w:val="hybridMultilevel"/>
    <w:tmpl w:val="52F4CEFA"/>
    <w:lvl w:ilvl="0" w:tplc="0F44EDF2">
      <w:start w:val="1"/>
      <w:numFmt w:val="decimal"/>
      <w:lvlText w:val="%1."/>
      <w:lvlJc w:val="left"/>
      <w:pPr>
        <w:ind w:left="720" w:hanging="360"/>
      </w:pPr>
      <w:rPr>
        <w:rFonts w:ascii="Arial" w:hAnsi="Arial" w:hint="default"/>
        <w:b/>
        <w:i w:val="0"/>
        <w:color w:val="auto"/>
      </w:rPr>
    </w:lvl>
    <w:lvl w:ilvl="1" w:tplc="0A584FFE" w:tentative="1">
      <w:start w:val="1"/>
      <w:numFmt w:val="lowerLetter"/>
      <w:lvlText w:val="%2."/>
      <w:lvlJc w:val="left"/>
      <w:pPr>
        <w:ind w:left="1440" w:hanging="360"/>
      </w:pPr>
    </w:lvl>
    <w:lvl w:ilvl="2" w:tplc="3DDC951C" w:tentative="1">
      <w:start w:val="1"/>
      <w:numFmt w:val="lowerRoman"/>
      <w:lvlText w:val="%3."/>
      <w:lvlJc w:val="right"/>
      <w:pPr>
        <w:ind w:left="2160" w:hanging="180"/>
      </w:pPr>
    </w:lvl>
    <w:lvl w:ilvl="3" w:tplc="D73A6B9C" w:tentative="1">
      <w:start w:val="1"/>
      <w:numFmt w:val="decimal"/>
      <w:lvlText w:val="%4."/>
      <w:lvlJc w:val="left"/>
      <w:pPr>
        <w:ind w:left="2880" w:hanging="360"/>
      </w:pPr>
    </w:lvl>
    <w:lvl w:ilvl="4" w:tplc="B9A43C54" w:tentative="1">
      <w:start w:val="1"/>
      <w:numFmt w:val="lowerLetter"/>
      <w:lvlText w:val="%5."/>
      <w:lvlJc w:val="left"/>
      <w:pPr>
        <w:ind w:left="3600" w:hanging="360"/>
      </w:pPr>
    </w:lvl>
    <w:lvl w:ilvl="5" w:tplc="D2826364" w:tentative="1">
      <w:start w:val="1"/>
      <w:numFmt w:val="lowerRoman"/>
      <w:lvlText w:val="%6."/>
      <w:lvlJc w:val="right"/>
      <w:pPr>
        <w:ind w:left="4320" w:hanging="180"/>
      </w:pPr>
    </w:lvl>
    <w:lvl w:ilvl="6" w:tplc="5B08BA50" w:tentative="1">
      <w:start w:val="1"/>
      <w:numFmt w:val="decimal"/>
      <w:lvlText w:val="%7."/>
      <w:lvlJc w:val="left"/>
      <w:pPr>
        <w:ind w:left="5040" w:hanging="360"/>
      </w:pPr>
    </w:lvl>
    <w:lvl w:ilvl="7" w:tplc="3A4E3824" w:tentative="1">
      <w:start w:val="1"/>
      <w:numFmt w:val="lowerLetter"/>
      <w:lvlText w:val="%8."/>
      <w:lvlJc w:val="left"/>
      <w:pPr>
        <w:ind w:left="5760" w:hanging="360"/>
      </w:pPr>
    </w:lvl>
    <w:lvl w:ilvl="8" w:tplc="480695DC" w:tentative="1">
      <w:start w:val="1"/>
      <w:numFmt w:val="lowerRoman"/>
      <w:lvlText w:val="%9."/>
      <w:lvlJc w:val="right"/>
      <w:pPr>
        <w:ind w:left="6480" w:hanging="180"/>
      </w:pPr>
    </w:lvl>
  </w:abstractNum>
  <w:abstractNum w:abstractNumId="20" w15:restartNumberingAfterBreak="0">
    <w:nsid w:val="5EBF00E5"/>
    <w:multiLevelType w:val="hybridMultilevel"/>
    <w:tmpl w:val="F3CEC084"/>
    <w:lvl w:ilvl="0" w:tplc="C5DC084E">
      <w:start w:val="1"/>
      <w:numFmt w:val="decimal"/>
      <w:lvlText w:val="%1."/>
      <w:lvlJc w:val="left"/>
      <w:pPr>
        <w:ind w:left="720" w:hanging="360"/>
      </w:pPr>
      <w:rPr>
        <w:rFonts w:ascii="Arial" w:hAnsi="Arial" w:hint="default"/>
        <w:b/>
        <w:i w:val="0"/>
        <w:color w:val="auto"/>
      </w:rPr>
    </w:lvl>
    <w:lvl w:ilvl="1" w:tplc="0A584FFE" w:tentative="1">
      <w:start w:val="1"/>
      <w:numFmt w:val="lowerLetter"/>
      <w:lvlText w:val="%2."/>
      <w:lvlJc w:val="left"/>
      <w:pPr>
        <w:ind w:left="1440" w:hanging="360"/>
      </w:pPr>
    </w:lvl>
    <w:lvl w:ilvl="2" w:tplc="3DDC951C" w:tentative="1">
      <w:start w:val="1"/>
      <w:numFmt w:val="lowerRoman"/>
      <w:lvlText w:val="%3."/>
      <w:lvlJc w:val="right"/>
      <w:pPr>
        <w:ind w:left="2160" w:hanging="180"/>
      </w:pPr>
    </w:lvl>
    <w:lvl w:ilvl="3" w:tplc="D73A6B9C" w:tentative="1">
      <w:start w:val="1"/>
      <w:numFmt w:val="decimal"/>
      <w:lvlText w:val="%4."/>
      <w:lvlJc w:val="left"/>
      <w:pPr>
        <w:ind w:left="2880" w:hanging="360"/>
      </w:pPr>
    </w:lvl>
    <w:lvl w:ilvl="4" w:tplc="B9A43C54" w:tentative="1">
      <w:start w:val="1"/>
      <w:numFmt w:val="lowerLetter"/>
      <w:lvlText w:val="%5."/>
      <w:lvlJc w:val="left"/>
      <w:pPr>
        <w:ind w:left="3600" w:hanging="360"/>
      </w:pPr>
    </w:lvl>
    <w:lvl w:ilvl="5" w:tplc="D2826364" w:tentative="1">
      <w:start w:val="1"/>
      <w:numFmt w:val="lowerRoman"/>
      <w:lvlText w:val="%6."/>
      <w:lvlJc w:val="right"/>
      <w:pPr>
        <w:ind w:left="4320" w:hanging="180"/>
      </w:pPr>
    </w:lvl>
    <w:lvl w:ilvl="6" w:tplc="5B08BA50" w:tentative="1">
      <w:start w:val="1"/>
      <w:numFmt w:val="decimal"/>
      <w:lvlText w:val="%7."/>
      <w:lvlJc w:val="left"/>
      <w:pPr>
        <w:ind w:left="5040" w:hanging="360"/>
      </w:pPr>
    </w:lvl>
    <w:lvl w:ilvl="7" w:tplc="3A4E3824" w:tentative="1">
      <w:start w:val="1"/>
      <w:numFmt w:val="lowerLetter"/>
      <w:lvlText w:val="%8."/>
      <w:lvlJc w:val="left"/>
      <w:pPr>
        <w:ind w:left="5760" w:hanging="360"/>
      </w:pPr>
    </w:lvl>
    <w:lvl w:ilvl="8" w:tplc="480695DC" w:tentative="1">
      <w:start w:val="1"/>
      <w:numFmt w:val="lowerRoman"/>
      <w:lvlText w:val="%9."/>
      <w:lvlJc w:val="right"/>
      <w:pPr>
        <w:ind w:left="6480" w:hanging="180"/>
      </w:pPr>
    </w:lvl>
  </w:abstractNum>
  <w:abstractNum w:abstractNumId="21" w15:restartNumberingAfterBreak="0">
    <w:nsid w:val="687524EC"/>
    <w:multiLevelType w:val="hybridMultilevel"/>
    <w:tmpl w:val="C83AE318"/>
    <w:lvl w:ilvl="0" w:tplc="411AE8D4">
      <w:start w:val="1"/>
      <w:numFmt w:val="bullet"/>
      <w:lvlText w:val=""/>
      <w:lvlJc w:val="left"/>
      <w:pPr>
        <w:ind w:left="720" w:hanging="360"/>
      </w:pPr>
      <w:rPr>
        <w:rFonts w:ascii="Symbol" w:hAnsi="Symbol" w:hint="default"/>
        <w:color w:val="7FC444"/>
      </w:rPr>
    </w:lvl>
    <w:lvl w:ilvl="1" w:tplc="B48251A0" w:tentative="1">
      <w:start w:val="1"/>
      <w:numFmt w:val="bullet"/>
      <w:lvlText w:val="o"/>
      <w:lvlJc w:val="left"/>
      <w:pPr>
        <w:ind w:left="1440" w:hanging="360"/>
      </w:pPr>
      <w:rPr>
        <w:rFonts w:ascii="Courier New" w:hAnsi="Courier New" w:cs="Courier New" w:hint="default"/>
      </w:rPr>
    </w:lvl>
    <w:lvl w:ilvl="2" w:tplc="CFE88C94" w:tentative="1">
      <w:start w:val="1"/>
      <w:numFmt w:val="bullet"/>
      <w:lvlText w:val=""/>
      <w:lvlJc w:val="left"/>
      <w:pPr>
        <w:ind w:left="2160" w:hanging="360"/>
      </w:pPr>
      <w:rPr>
        <w:rFonts w:ascii="Wingdings" w:hAnsi="Wingdings" w:hint="default"/>
      </w:rPr>
    </w:lvl>
    <w:lvl w:ilvl="3" w:tplc="6B309DA2" w:tentative="1">
      <w:start w:val="1"/>
      <w:numFmt w:val="bullet"/>
      <w:lvlText w:val=""/>
      <w:lvlJc w:val="left"/>
      <w:pPr>
        <w:ind w:left="2880" w:hanging="360"/>
      </w:pPr>
      <w:rPr>
        <w:rFonts w:ascii="Symbol" w:hAnsi="Symbol" w:hint="default"/>
      </w:rPr>
    </w:lvl>
    <w:lvl w:ilvl="4" w:tplc="F02A1738" w:tentative="1">
      <w:start w:val="1"/>
      <w:numFmt w:val="bullet"/>
      <w:lvlText w:val="o"/>
      <w:lvlJc w:val="left"/>
      <w:pPr>
        <w:ind w:left="3600" w:hanging="360"/>
      </w:pPr>
      <w:rPr>
        <w:rFonts w:ascii="Courier New" w:hAnsi="Courier New" w:cs="Courier New" w:hint="default"/>
      </w:rPr>
    </w:lvl>
    <w:lvl w:ilvl="5" w:tplc="1EE21932" w:tentative="1">
      <w:start w:val="1"/>
      <w:numFmt w:val="bullet"/>
      <w:lvlText w:val=""/>
      <w:lvlJc w:val="left"/>
      <w:pPr>
        <w:ind w:left="4320" w:hanging="360"/>
      </w:pPr>
      <w:rPr>
        <w:rFonts w:ascii="Wingdings" w:hAnsi="Wingdings" w:hint="default"/>
      </w:rPr>
    </w:lvl>
    <w:lvl w:ilvl="6" w:tplc="14F2D21C" w:tentative="1">
      <w:start w:val="1"/>
      <w:numFmt w:val="bullet"/>
      <w:lvlText w:val=""/>
      <w:lvlJc w:val="left"/>
      <w:pPr>
        <w:ind w:left="5040" w:hanging="360"/>
      </w:pPr>
      <w:rPr>
        <w:rFonts w:ascii="Symbol" w:hAnsi="Symbol" w:hint="default"/>
      </w:rPr>
    </w:lvl>
    <w:lvl w:ilvl="7" w:tplc="FAB24296" w:tentative="1">
      <w:start w:val="1"/>
      <w:numFmt w:val="bullet"/>
      <w:lvlText w:val="o"/>
      <w:lvlJc w:val="left"/>
      <w:pPr>
        <w:ind w:left="5760" w:hanging="360"/>
      </w:pPr>
      <w:rPr>
        <w:rFonts w:ascii="Courier New" w:hAnsi="Courier New" w:cs="Courier New" w:hint="default"/>
      </w:rPr>
    </w:lvl>
    <w:lvl w:ilvl="8" w:tplc="DFFA1330" w:tentative="1">
      <w:start w:val="1"/>
      <w:numFmt w:val="bullet"/>
      <w:lvlText w:val=""/>
      <w:lvlJc w:val="left"/>
      <w:pPr>
        <w:ind w:left="6480" w:hanging="360"/>
      </w:pPr>
      <w:rPr>
        <w:rFonts w:ascii="Wingdings" w:hAnsi="Wingdings" w:hint="default"/>
      </w:rPr>
    </w:lvl>
  </w:abstractNum>
  <w:abstractNum w:abstractNumId="22" w15:restartNumberingAfterBreak="0">
    <w:nsid w:val="6CF12FAA"/>
    <w:multiLevelType w:val="hybridMultilevel"/>
    <w:tmpl w:val="9FC82B80"/>
    <w:lvl w:ilvl="0" w:tplc="9A68059A">
      <w:start w:val="1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981066"/>
    <w:multiLevelType w:val="hybridMultilevel"/>
    <w:tmpl w:val="29A03522"/>
    <w:lvl w:ilvl="0" w:tplc="4E241FC4">
      <w:start w:val="1"/>
      <w:numFmt w:val="bullet"/>
      <w:lvlText w:val=""/>
      <w:lvlJc w:val="left"/>
      <w:pPr>
        <w:ind w:left="720" w:hanging="360"/>
      </w:pPr>
      <w:rPr>
        <w:rFonts w:ascii="Symbol" w:hAnsi="Symbol" w:hint="default"/>
        <w:color w:val="7FC444"/>
      </w:rPr>
    </w:lvl>
    <w:lvl w:ilvl="1" w:tplc="0D1E7C8E" w:tentative="1">
      <w:start w:val="1"/>
      <w:numFmt w:val="bullet"/>
      <w:lvlText w:val="o"/>
      <w:lvlJc w:val="left"/>
      <w:pPr>
        <w:ind w:left="1440" w:hanging="360"/>
      </w:pPr>
      <w:rPr>
        <w:rFonts w:ascii="Courier New" w:hAnsi="Courier New" w:cs="Courier New" w:hint="default"/>
      </w:rPr>
    </w:lvl>
    <w:lvl w:ilvl="2" w:tplc="B46C02A8" w:tentative="1">
      <w:start w:val="1"/>
      <w:numFmt w:val="bullet"/>
      <w:lvlText w:val=""/>
      <w:lvlJc w:val="left"/>
      <w:pPr>
        <w:ind w:left="2160" w:hanging="360"/>
      </w:pPr>
      <w:rPr>
        <w:rFonts w:ascii="Wingdings" w:hAnsi="Wingdings" w:hint="default"/>
      </w:rPr>
    </w:lvl>
    <w:lvl w:ilvl="3" w:tplc="6090EB1A" w:tentative="1">
      <w:start w:val="1"/>
      <w:numFmt w:val="bullet"/>
      <w:lvlText w:val=""/>
      <w:lvlJc w:val="left"/>
      <w:pPr>
        <w:ind w:left="2880" w:hanging="360"/>
      </w:pPr>
      <w:rPr>
        <w:rFonts w:ascii="Symbol" w:hAnsi="Symbol" w:hint="default"/>
      </w:rPr>
    </w:lvl>
    <w:lvl w:ilvl="4" w:tplc="F4AC2A3C" w:tentative="1">
      <w:start w:val="1"/>
      <w:numFmt w:val="bullet"/>
      <w:lvlText w:val="o"/>
      <w:lvlJc w:val="left"/>
      <w:pPr>
        <w:ind w:left="3600" w:hanging="360"/>
      </w:pPr>
      <w:rPr>
        <w:rFonts w:ascii="Courier New" w:hAnsi="Courier New" w:cs="Courier New" w:hint="default"/>
      </w:rPr>
    </w:lvl>
    <w:lvl w:ilvl="5" w:tplc="8E7CADC0" w:tentative="1">
      <w:start w:val="1"/>
      <w:numFmt w:val="bullet"/>
      <w:lvlText w:val=""/>
      <w:lvlJc w:val="left"/>
      <w:pPr>
        <w:ind w:left="4320" w:hanging="360"/>
      </w:pPr>
      <w:rPr>
        <w:rFonts w:ascii="Wingdings" w:hAnsi="Wingdings" w:hint="default"/>
      </w:rPr>
    </w:lvl>
    <w:lvl w:ilvl="6" w:tplc="1C60114A" w:tentative="1">
      <w:start w:val="1"/>
      <w:numFmt w:val="bullet"/>
      <w:lvlText w:val=""/>
      <w:lvlJc w:val="left"/>
      <w:pPr>
        <w:ind w:left="5040" w:hanging="360"/>
      </w:pPr>
      <w:rPr>
        <w:rFonts w:ascii="Symbol" w:hAnsi="Symbol" w:hint="default"/>
      </w:rPr>
    </w:lvl>
    <w:lvl w:ilvl="7" w:tplc="BFB65D92" w:tentative="1">
      <w:start w:val="1"/>
      <w:numFmt w:val="bullet"/>
      <w:lvlText w:val="o"/>
      <w:lvlJc w:val="left"/>
      <w:pPr>
        <w:ind w:left="5760" w:hanging="360"/>
      </w:pPr>
      <w:rPr>
        <w:rFonts w:ascii="Courier New" w:hAnsi="Courier New" w:cs="Courier New" w:hint="default"/>
      </w:rPr>
    </w:lvl>
    <w:lvl w:ilvl="8" w:tplc="0772DCC2" w:tentative="1">
      <w:start w:val="1"/>
      <w:numFmt w:val="bullet"/>
      <w:lvlText w:val=""/>
      <w:lvlJc w:val="left"/>
      <w:pPr>
        <w:ind w:left="6480" w:hanging="360"/>
      </w:pPr>
      <w:rPr>
        <w:rFonts w:ascii="Wingdings" w:hAnsi="Wingdings" w:hint="default"/>
      </w:rPr>
    </w:lvl>
  </w:abstractNum>
  <w:abstractNum w:abstractNumId="24" w15:restartNumberingAfterBreak="0">
    <w:nsid w:val="738C1DF9"/>
    <w:multiLevelType w:val="hybridMultilevel"/>
    <w:tmpl w:val="333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872A1"/>
    <w:multiLevelType w:val="hybridMultilevel"/>
    <w:tmpl w:val="700E460A"/>
    <w:lvl w:ilvl="0" w:tplc="05E4363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A4E395A" w:tentative="1">
      <w:start w:val="1"/>
      <w:numFmt w:val="bullet"/>
      <w:lvlText w:val="o"/>
      <w:lvlJc w:val="left"/>
      <w:pPr>
        <w:tabs>
          <w:tab w:val="num" w:pos="1440"/>
        </w:tabs>
        <w:ind w:left="1440" w:hanging="360"/>
      </w:pPr>
      <w:rPr>
        <w:rFonts w:ascii="Courier New" w:hAnsi="Courier New" w:hint="default"/>
      </w:rPr>
    </w:lvl>
    <w:lvl w:ilvl="2" w:tplc="94482AEE" w:tentative="1">
      <w:start w:val="1"/>
      <w:numFmt w:val="bullet"/>
      <w:lvlText w:val=""/>
      <w:lvlJc w:val="left"/>
      <w:pPr>
        <w:tabs>
          <w:tab w:val="num" w:pos="2160"/>
        </w:tabs>
        <w:ind w:left="2160" w:hanging="360"/>
      </w:pPr>
      <w:rPr>
        <w:rFonts w:ascii="Wingdings" w:hAnsi="Wingdings" w:hint="default"/>
      </w:rPr>
    </w:lvl>
    <w:lvl w:ilvl="3" w:tplc="6E30AAB8" w:tentative="1">
      <w:start w:val="1"/>
      <w:numFmt w:val="bullet"/>
      <w:lvlText w:val=""/>
      <w:lvlJc w:val="left"/>
      <w:pPr>
        <w:tabs>
          <w:tab w:val="num" w:pos="2880"/>
        </w:tabs>
        <w:ind w:left="2880" w:hanging="360"/>
      </w:pPr>
      <w:rPr>
        <w:rFonts w:ascii="Symbol" w:hAnsi="Symbol" w:hint="default"/>
      </w:rPr>
    </w:lvl>
    <w:lvl w:ilvl="4" w:tplc="FD64A5F0" w:tentative="1">
      <w:start w:val="1"/>
      <w:numFmt w:val="bullet"/>
      <w:lvlText w:val="o"/>
      <w:lvlJc w:val="left"/>
      <w:pPr>
        <w:tabs>
          <w:tab w:val="num" w:pos="3600"/>
        </w:tabs>
        <w:ind w:left="3600" w:hanging="360"/>
      </w:pPr>
      <w:rPr>
        <w:rFonts w:ascii="Courier New" w:hAnsi="Courier New" w:hint="default"/>
      </w:rPr>
    </w:lvl>
    <w:lvl w:ilvl="5" w:tplc="890CFA8A" w:tentative="1">
      <w:start w:val="1"/>
      <w:numFmt w:val="bullet"/>
      <w:lvlText w:val=""/>
      <w:lvlJc w:val="left"/>
      <w:pPr>
        <w:tabs>
          <w:tab w:val="num" w:pos="4320"/>
        </w:tabs>
        <w:ind w:left="4320" w:hanging="360"/>
      </w:pPr>
      <w:rPr>
        <w:rFonts w:ascii="Wingdings" w:hAnsi="Wingdings" w:hint="default"/>
      </w:rPr>
    </w:lvl>
    <w:lvl w:ilvl="6" w:tplc="153058A8" w:tentative="1">
      <w:start w:val="1"/>
      <w:numFmt w:val="bullet"/>
      <w:lvlText w:val=""/>
      <w:lvlJc w:val="left"/>
      <w:pPr>
        <w:tabs>
          <w:tab w:val="num" w:pos="5040"/>
        </w:tabs>
        <w:ind w:left="5040" w:hanging="360"/>
      </w:pPr>
      <w:rPr>
        <w:rFonts w:ascii="Symbol" w:hAnsi="Symbol" w:hint="default"/>
      </w:rPr>
    </w:lvl>
    <w:lvl w:ilvl="7" w:tplc="BFEAF7DE" w:tentative="1">
      <w:start w:val="1"/>
      <w:numFmt w:val="bullet"/>
      <w:lvlText w:val="o"/>
      <w:lvlJc w:val="left"/>
      <w:pPr>
        <w:tabs>
          <w:tab w:val="num" w:pos="5760"/>
        </w:tabs>
        <w:ind w:left="5760" w:hanging="360"/>
      </w:pPr>
      <w:rPr>
        <w:rFonts w:ascii="Courier New" w:hAnsi="Courier New" w:hint="default"/>
      </w:rPr>
    </w:lvl>
    <w:lvl w:ilvl="8" w:tplc="C76E4A1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18"/>
  </w:num>
  <w:num w:numId="4">
    <w:abstractNumId w:val="21"/>
  </w:num>
  <w:num w:numId="5">
    <w:abstractNumId w:val="15"/>
  </w:num>
  <w:num w:numId="6">
    <w:abstractNumId w:val="7"/>
  </w:num>
  <w:num w:numId="7">
    <w:abstractNumId w:val="10"/>
  </w:num>
  <w:num w:numId="8">
    <w:abstractNumId w:val="20"/>
  </w:num>
  <w:num w:numId="9">
    <w:abstractNumId w:val="13"/>
  </w:num>
  <w:num w:numId="10">
    <w:abstractNumId w:val="5"/>
  </w:num>
  <w:num w:numId="11">
    <w:abstractNumId w:val="2"/>
  </w:num>
  <w:num w:numId="12">
    <w:abstractNumId w:val="2"/>
  </w:num>
  <w:num w:numId="13">
    <w:abstractNumId w:val="6"/>
  </w:num>
  <w:num w:numId="14">
    <w:abstractNumId w:val="11"/>
  </w:num>
  <w:num w:numId="15">
    <w:abstractNumId w:val="12"/>
  </w:num>
  <w:num w:numId="16">
    <w:abstractNumId w:val="19"/>
  </w:num>
  <w:num w:numId="17">
    <w:abstractNumId w:val="17"/>
  </w:num>
  <w:num w:numId="18">
    <w:abstractNumId w:val="14"/>
  </w:num>
  <w:num w:numId="19">
    <w:abstractNumId w:val="16"/>
  </w:num>
  <w:num w:numId="20">
    <w:abstractNumId w:val="0"/>
  </w:num>
  <w:num w:numId="21">
    <w:abstractNumId w:val="4"/>
  </w:num>
  <w:num w:numId="22">
    <w:abstractNumId w:val="8"/>
  </w:num>
  <w:num w:numId="23">
    <w:abstractNumId w:val="22"/>
  </w:num>
  <w:num w:numId="24">
    <w:abstractNumId w:val="9"/>
  </w:num>
  <w:num w:numId="25">
    <w:abstractNumId w:val="3"/>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6B4"/>
    <w:rsid w:val="000010E3"/>
    <w:rsid w:val="00041B66"/>
    <w:rsid w:val="000664A7"/>
    <w:rsid w:val="000D5975"/>
    <w:rsid w:val="000F65C3"/>
    <w:rsid w:val="001B47BD"/>
    <w:rsid w:val="001C389D"/>
    <w:rsid w:val="00207453"/>
    <w:rsid w:val="00241A8F"/>
    <w:rsid w:val="00291557"/>
    <w:rsid w:val="002C565B"/>
    <w:rsid w:val="002F7F28"/>
    <w:rsid w:val="0035516E"/>
    <w:rsid w:val="00380D24"/>
    <w:rsid w:val="003A208B"/>
    <w:rsid w:val="0044772C"/>
    <w:rsid w:val="004D4B12"/>
    <w:rsid w:val="0052659B"/>
    <w:rsid w:val="005532C2"/>
    <w:rsid w:val="00555E0A"/>
    <w:rsid w:val="00572AFC"/>
    <w:rsid w:val="005926B4"/>
    <w:rsid w:val="005B3C0E"/>
    <w:rsid w:val="005B7E93"/>
    <w:rsid w:val="006571E3"/>
    <w:rsid w:val="006E178F"/>
    <w:rsid w:val="00757E5A"/>
    <w:rsid w:val="00766EEA"/>
    <w:rsid w:val="007A4CDA"/>
    <w:rsid w:val="007C24FC"/>
    <w:rsid w:val="007D4027"/>
    <w:rsid w:val="007D4567"/>
    <w:rsid w:val="008103BA"/>
    <w:rsid w:val="008837F5"/>
    <w:rsid w:val="00897D74"/>
    <w:rsid w:val="008D3CD6"/>
    <w:rsid w:val="008E4573"/>
    <w:rsid w:val="009C6F1B"/>
    <w:rsid w:val="009F7115"/>
    <w:rsid w:val="00A12A35"/>
    <w:rsid w:val="00A72780"/>
    <w:rsid w:val="00AB5E07"/>
    <w:rsid w:val="00AD3348"/>
    <w:rsid w:val="00AD6DFC"/>
    <w:rsid w:val="00AD75CA"/>
    <w:rsid w:val="00B56DDE"/>
    <w:rsid w:val="00BF466E"/>
    <w:rsid w:val="00CA533A"/>
    <w:rsid w:val="00CE6B10"/>
    <w:rsid w:val="00D435E5"/>
    <w:rsid w:val="00D621EE"/>
    <w:rsid w:val="00D63CD4"/>
    <w:rsid w:val="00E210D9"/>
    <w:rsid w:val="00E4205A"/>
    <w:rsid w:val="00E65C27"/>
    <w:rsid w:val="00E8742E"/>
    <w:rsid w:val="00ED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5923"/>
  <w15:docId w15:val="{0582334B-AA69-4038-B480-842698FB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E6B10"/>
    <w:pPr>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774BC4"/>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pPr>
    <w:rPr>
      <w:rFonts w:ascii="Times New Roman" w:hAnsi="Times New Roman"/>
      <w:szCs w:val="24"/>
      <w:lang w:eastAsia="en-GB"/>
    </w:rPr>
  </w:style>
  <w:style w:type="paragraph" w:customStyle="1" w:styleId="standfirst">
    <w:name w:val="standfirst"/>
    <w:basedOn w:val="Normal"/>
    <w:rsid w:val="00774BC4"/>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E874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759">
      <w:bodyDiv w:val="1"/>
      <w:marLeft w:val="0"/>
      <w:marRight w:val="0"/>
      <w:marTop w:val="0"/>
      <w:marBottom w:val="0"/>
      <w:divBdr>
        <w:top w:val="none" w:sz="0" w:space="0" w:color="auto"/>
        <w:left w:val="none" w:sz="0" w:space="0" w:color="auto"/>
        <w:bottom w:val="none" w:sz="0" w:space="0" w:color="auto"/>
        <w:right w:val="none" w:sz="0" w:space="0" w:color="auto"/>
      </w:divBdr>
    </w:div>
    <w:div w:id="1073628587">
      <w:bodyDiv w:val="1"/>
      <w:marLeft w:val="0"/>
      <w:marRight w:val="0"/>
      <w:marTop w:val="0"/>
      <w:marBottom w:val="0"/>
      <w:divBdr>
        <w:top w:val="none" w:sz="0" w:space="0" w:color="auto"/>
        <w:left w:val="none" w:sz="0" w:space="0" w:color="auto"/>
        <w:bottom w:val="none" w:sz="0" w:space="0" w:color="auto"/>
        <w:right w:val="none" w:sz="0" w:space="0" w:color="auto"/>
      </w:divBdr>
    </w:div>
    <w:div w:id="14550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0CB4AB-5F7C-48A0-B5CC-F381CBBA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12</cp:revision>
  <cp:lastPrinted>2014-03-21T13:56:00Z</cp:lastPrinted>
  <dcterms:created xsi:type="dcterms:W3CDTF">2021-05-10T12:26:00Z</dcterms:created>
  <dcterms:modified xsi:type="dcterms:W3CDTF">2021-05-14T15:10:00Z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Annual Report</vt:lpwstr>
  </property>
  <property fmtid="{D5CDD505-2E9C-101B-9397-08002B2CF9AE}" pid="4" name="LeadDirector">
    <vt:lpwstr>Director of Governance and Monitoring Officer</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Shared Service Lead- Audit &amp; Risk</vt:lpwstr>
  </property>
  <property fmtid="{D5CDD505-2E9C-101B-9397-08002B2CF9AE}" pid="8" name="MeetingDate">
    <vt:lpwstr>Tuesday, 25 May 2021</vt:lpwstr>
  </property>
</Properties>
</file>